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206A" w:rsidRDefault="00986B44">
      <w:pPr>
        <w:pStyle w:val="aa"/>
        <w:tabs>
          <w:tab w:val="clear" w:pos="4536"/>
          <w:tab w:val="clear" w:pos="9072"/>
          <w:tab w:val="right" w:pos="9282"/>
          <w:tab w:val="right" w:pos="9492"/>
        </w:tabs>
        <w:snapToGrid w:val="0"/>
        <w:rPr>
          <w:rFonts w:eastAsia="宋体"/>
          <w:sz w:val="22"/>
          <w:szCs w:val="22"/>
          <w:lang w:eastAsia="zh-CN"/>
        </w:rPr>
      </w:pPr>
      <w:r>
        <w:rPr>
          <w:sz w:val="22"/>
          <w:szCs w:val="22"/>
        </w:rPr>
        <w:t>3GPP TSG RAN WG1 Meeting #10</w:t>
      </w:r>
      <w:r>
        <w:rPr>
          <w:rFonts w:eastAsia="宋体" w:hint="eastAsia"/>
          <w:sz w:val="22"/>
          <w:szCs w:val="22"/>
          <w:lang w:eastAsia="zh-CN"/>
        </w:rPr>
        <w:t>7</w:t>
      </w:r>
      <w:r>
        <w:rPr>
          <w:rFonts w:eastAsia="宋体"/>
          <w:sz w:val="22"/>
          <w:szCs w:val="22"/>
          <w:lang w:eastAsia="zh-CN"/>
        </w:rPr>
        <w:t>-e</w:t>
      </w:r>
      <w:r>
        <w:rPr>
          <w:rFonts w:ascii="Times New Roman" w:eastAsia="宋体" w:hAnsi="Times New Roman"/>
          <w:sz w:val="22"/>
          <w:szCs w:val="22"/>
          <w:lang w:eastAsia="zh-CN"/>
        </w:rPr>
        <w:tab/>
      </w:r>
      <w:r>
        <w:rPr>
          <w:rFonts w:hint="eastAsia"/>
          <w:sz w:val="22"/>
          <w:szCs w:val="22"/>
          <w:lang w:eastAsia="ja-JP"/>
        </w:rPr>
        <w:t>R1-2110965</w:t>
      </w:r>
    </w:p>
    <w:p w:rsidR="002A206A" w:rsidRDefault="00986B44">
      <w:pPr>
        <w:snapToGrid w:val="0"/>
        <w:spacing w:line="240" w:lineRule="auto"/>
        <w:rPr>
          <w:rFonts w:ascii="Arial" w:eastAsia="宋体" w:hAnsi="Arial"/>
          <w:b/>
          <w:sz w:val="22"/>
        </w:rPr>
      </w:pPr>
      <w:proofErr w:type="gramStart"/>
      <w:r>
        <w:rPr>
          <w:rFonts w:ascii="Arial" w:eastAsia="MS Mincho" w:hAnsi="Arial"/>
          <w:b/>
          <w:sz w:val="22"/>
          <w:lang w:eastAsia="en-US"/>
        </w:rPr>
        <w:t>e-Meeting</w:t>
      </w:r>
      <w:proofErr w:type="gramEnd"/>
      <w:r>
        <w:rPr>
          <w:rFonts w:ascii="Arial" w:eastAsia="MS Mincho" w:hAnsi="Arial"/>
          <w:b/>
          <w:sz w:val="22"/>
          <w:lang w:eastAsia="en-US"/>
        </w:rPr>
        <w:t xml:space="preserve">, </w:t>
      </w:r>
      <w:r>
        <w:rPr>
          <w:rFonts w:ascii="Arial" w:eastAsia="宋体" w:hAnsi="Arial"/>
          <w:b/>
        </w:rPr>
        <w:t>November 11</w:t>
      </w:r>
      <w:r>
        <w:rPr>
          <w:rFonts w:ascii="Arial" w:eastAsia="宋体" w:hAnsi="Arial"/>
          <w:b/>
          <w:vertAlign w:val="superscript"/>
        </w:rPr>
        <w:t>th</w:t>
      </w:r>
      <w:r>
        <w:rPr>
          <w:rFonts w:ascii="Arial" w:eastAsia="宋体" w:hAnsi="Arial"/>
          <w:b/>
        </w:rPr>
        <w:t xml:space="preserve"> – 19</w:t>
      </w:r>
      <w:r>
        <w:rPr>
          <w:rFonts w:ascii="Arial" w:eastAsia="宋体" w:hAnsi="Arial"/>
          <w:b/>
          <w:vertAlign w:val="superscript"/>
        </w:rPr>
        <w:t>th</w:t>
      </w:r>
      <w:r>
        <w:rPr>
          <w:rFonts w:ascii="Arial" w:eastAsia="MS Mincho" w:hAnsi="Arial" w:hint="eastAsia"/>
          <w:b/>
          <w:sz w:val="22"/>
          <w:lang w:eastAsia="en-US"/>
        </w:rPr>
        <w:t>,</w:t>
      </w:r>
      <w:r>
        <w:rPr>
          <w:rFonts w:ascii="Arial" w:eastAsia="MS Mincho" w:hAnsi="Arial"/>
          <w:b/>
          <w:sz w:val="22"/>
          <w:lang w:eastAsia="en-US"/>
        </w:rPr>
        <w:t xml:space="preserve"> </w:t>
      </w:r>
      <w:r>
        <w:rPr>
          <w:rFonts w:ascii="Arial" w:hAnsi="Arial" w:hint="eastAsia"/>
          <w:b/>
          <w:sz w:val="22"/>
          <w:lang w:eastAsia="ja-JP"/>
        </w:rPr>
        <w:t>202</w:t>
      </w:r>
      <w:r>
        <w:rPr>
          <w:rFonts w:ascii="Arial" w:eastAsia="宋体" w:hAnsi="Arial" w:hint="eastAsia"/>
          <w:b/>
          <w:sz w:val="22"/>
        </w:rPr>
        <w:t>1</w:t>
      </w:r>
    </w:p>
    <w:p w:rsidR="002A206A" w:rsidRDefault="00986B44">
      <w:pPr>
        <w:pStyle w:val="aa"/>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2A206A" w:rsidRDefault="00986B44">
      <w:pPr>
        <w:pStyle w:val="aa"/>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Discussion on SRS carrier switching</w:t>
      </w:r>
    </w:p>
    <w:p w:rsidR="002A206A" w:rsidRDefault="00986B44">
      <w:pPr>
        <w:pStyle w:val="aa"/>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7</w:t>
      </w:r>
      <w:r>
        <w:rPr>
          <w:rFonts w:hint="eastAsia"/>
          <w:sz w:val="22"/>
          <w:szCs w:val="22"/>
          <w:lang w:eastAsia="zh-CN"/>
        </w:rPr>
        <w:t>.1</w:t>
      </w:r>
    </w:p>
    <w:p w:rsidR="002A206A" w:rsidRDefault="00986B44">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2A206A" w:rsidRDefault="00986B44">
      <w:pPr>
        <w:numPr>
          <w:ilvl w:val="0"/>
          <w:numId w:val="5"/>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rsidR="002A206A" w:rsidRDefault="00986B44">
      <w:pPr>
        <w:snapToGrid w:val="0"/>
        <w:spacing w:beforeLines="50" w:before="120" w:afterLines="50" w:after="120" w:line="240" w:lineRule="auto"/>
        <w:jc w:val="both"/>
        <w:rPr>
          <w:rFonts w:eastAsia="微软雅黑"/>
          <w:szCs w:val="20"/>
        </w:rPr>
      </w:pPr>
      <w:r>
        <w:rPr>
          <w:rFonts w:eastAsia="微软雅黑" w:hint="eastAsia"/>
          <w:szCs w:val="20"/>
          <w:lang w:val="en-GB"/>
        </w:rPr>
        <w:t>I</w:t>
      </w:r>
      <w:r>
        <w:rPr>
          <w:rFonts w:eastAsia="微软雅黑"/>
          <w:szCs w:val="20"/>
          <w:lang w:val="en-GB"/>
        </w:rPr>
        <w:t>n RAN</w:t>
      </w:r>
      <w:r>
        <w:rPr>
          <w:rFonts w:eastAsia="微软雅黑" w:hint="eastAsia"/>
          <w:szCs w:val="20"/>
        </w:rPr>
        <w:t>1</w:t>
      </w:r>
      <w:r>
        <w:rPr>
          <w:rFonts w:eastAsia="微软雅黑"/>
          <w:szCs w:val="20"/>
          <w:lang w:val="en-GB"/>
        </w:rPr>
        <w:t>#</w:t>
      </w:r>
      <w:r>
        <w:rPr>
          <w:rFonts w:eastAsia="微软雅黑" w:hint="eastAsia"/>
          <w:szCs w:val="20"/>
        </w:rPr>
        <w:t>10</w:t>
      </w:r>
      <w:r>
        <w:rPr>
          <w:rFonts w:eastAsia="微软雅黑"/>
          <w:szCs w:val="20"/>
        </w:rPr>
        <w:t>5-</w:t>
      </w:r>
      <w:r>
        <w:rPr>
          <w:rFonts w:eastAsia="微软雅黑" w:hint="eastAsia"/>
          <w:szCs w:val="20"/>
        </w:rPr>
        <w:t>e</w:t>
      </w:r>
      <w:r>
        <w:rPr>
          <w:rFonts w:eastAsia="微软雅黑"/>
          <w:szCs w:val="20"/>
        </w:rPr>
        <w:t xml:space="preserve"> </w:t>
      </w:r>
      <w:r>
        <w:rPr>
          <w:rFonts w:eastAsia="微软雅黑" w:hint="eastAsia"/>
          <w:szCs w:val="20"/>
        </w:rPr>
        <w:t>and RAN1#106-e meeting</w:t>
      </w:r>
      <w:r w:rsidR="00E91D25">
        <w:rPr>
          <w:rFonts w:eastAsia="微软雅黑" w:hint="eastAsia"/>
          <w:szCs w:val="20"/>
        </w:rPr>
        <w:t>s</w:t>
      </w:r>
      <w:r w:rsidR="00E91D25">
        <w:rPr>
          <w:rFonts w:eastAsia="微软雅黑"/>
          <w:szCs w:val="20"/>
        </w:rPr>
        <w:t xml:space="preserve"> </w:t>
      </w:r>
      <w:r>
        <w:rPr>
          <w:rFonts w:eastAsia="微软雅黑"/>
          <w:szCs w:val="20"/>
        </w:rPr>
        <w:t>[1]</w:t>
      </w:r>
      <w:r>
        <w:rPr>
          <w:rFonts w:eastAsia="微软雅黑" w:hint="eastAsia"/>
          <w:szCs w:val="20"/>
        </w:rPr>
        <w:t>[2]</w:t>
      </w:r>
      <w:r>
        <w:rPr>
          <w:rFonts w:eastAsia="微软雅黑"/>
          <w:szCs w:val="20"/>
          <w:lang w:val="en-GB"/>
        </w:rPr>
        <w:t xml:space="preserve">, </w:t>
      </w:r>
      <w:r>
        <w:rPr>
          <w:rFonts w:eastAsia="微软雅黑"/>
          <w:szCs w:val="20"/>
        </w:rPr>
        <w:t xml:space="preserve">some issues related to SRS carrier switching were discussed mainly including prioritization rule between </w:t>
      </w:r>
      <w:r>
        <w:rPr>
          <w:rFonts w:eastAsia="微软雅黑" w:hint="eastAsia"/>
          <w:szCs w:val="20"/>
        </w:rPr>
        <w:t>SRS</w:t>
      </w:r>
      <w:r>
        <w:rPr>
          <w:rFonts w:eastAsia="微软雅黑"/>
          <w:szCs w:val="20"/>
        </w:rPr>
        <w:t xml:space="preserve"> for carrier switching and other UL signals which are overlapped in time domain</w:t>
      </w:r>
      <w:r>
        <w:rPr>
          <w:rFonts w:eastAsia="微软雅黑" w:hint="eastAsia"/>
          <w:szCs w:val="20"/>
        </w:rPr>
        <w:t>.</w:t>
      </w:r>
      <w:r>
        <w:rPr>
          <w:rFonts w:eastAsia="微软雅黑"/>
          <w:szCs w:val="20"/>
        </w:rPr>
        <w:t xml:space="preserve"> </w:t>
      </w:r>
    </w:p>
    <w:p w:rsidR="002A206A" w:rsidRDefault="00986B44">
      <w:pPr>
        <w:snapToGrid w:val="0"/>
        <w:spacing w:beforeLines="50" w:before="120" w:after="50" w:line="240" w:lineRule="auto"/>
        <w:jc w:val="both"/>
        <w:rPr>
          <w:rFonts w:eastAsia="微软雅黑"/>
          <w:szCs w:val="20"/>
        </w:rPr>
      </w:pPr>
      <w:r>
        <w:rPr>
          <w:rFonts w:eastAsia="微软雅黑"/>
          <w:szCs w:val="20"/>
        </w:rPr>
        <w:t xml:space="preserve">The achieved agreements are described as follows. </w:t>
      </w:r>
    </w:p>
    <w:tbl>
      <w:tblPr>
        <w:tblStyle w:val="af"/>
        <w:tblW w:w="0" w:type="auto"/>
        <w:tblLook w:val="04A0" w:firstRow="1" w:lastRow="0" w:firstColumn="1" w:lastColumn="0" w:noHBand="0" w:noVBand="1"/>
      </w:tblPr>
      <w:tblGrid>
        <w:gridCol w:w="9350"/>
      </w:tblGrid>
      <w:tr w:rsidR="002A206A">
        <w:tc>
          <w:tcPr>
            <w:tcW w:w="9350" w:type="dxa"/>
          </w:tcPr>
          <w:p w:rsidR="002A206A" w:rsidRDefault="00986B44">
            <w:pPr>
              <w:snapToGrid w:val="0"/>
              <w:spacing w:after="0" w:line="240" w:lineRule="auto"/>
              <w:rPr>
                <w:rFonts w:eastAsia="宋体" w:cs="Times"/>
                <w:b/>
                <w:bCs/>
                <w:sz w:val="18"/>
                <w:szCs w:val="18"/>
                <w:u w:val="single"/>
              </w:rPr>
            </w:pPr>
            <w:r>
              <w:rPr>
                <w:rStyle w:val="160"/>
                <w:rFonts w:ascii="Times" w:hAnsi="Times" w:cs="Times"/>
                <w:b w:val="0"/>
                <w:bCs w:val="0"/>
                <w:u w:val="single"/>
              </w:rPr>
              <w:t>Agreement</w:t>
            </w:r>
            <w:r>
              <w:rPr>
                <w:rStyle w:val="160"/>
                <w:rFonts w:ascii="Times" w:eastAsia="宋体" w:hAnsi="Times" w:cs="Times" w:hint="eastAsia"/>
                <w:b w:val="0"/>
                <w:bCs w:val="0"/>
                <w:u w:val="single"/>
              </w:rPr>
              <w:t xml:space="preserve"> in RAN1#105-e</w:t>
            </w:r>
          </w:p>
          <w:p w:rsidR="002A206A" w:rsidRDefault="00986B44">
            <w:pPr>
              <w:snapToGrid w:val="0"/>
              <w:spacing w:after="0" w:line="240" w:lineRule="auto"/>
              <w:rPr>
                <w:rFonts w:cs="Times"/>
                <w:sz w:val="18"/>
                <w:szCs w:val="18"/>
              </w:rPr>
            </w:pPr>
            <w:r>
              <w:rPr>
                <w:rFonts w:cs="Times"/>
              </w:rPr>
              <w:t>The prioritization rules of SRS carrier switching apply to at least the source CC.</w:t>
            </w:r>
          </w:p>
          <w:p w:rsidR="002A206A" w:rsidRDefault="00986B44">
            <w:pPr>
              <w:numPr>
                <w:ilvl w:val="0"/>
                <w:numId w:val="6"/>
              </w:numPr>
              <w:snapToGrid w:val="0"/>
              <w:spacing w:after="0" w:line="240" w:lineRule="auto"/>
              <w:rPr>
                <w:rFonts w:eastAsia="MS PGothic" w:cs="Times"/>
                <w:sz w:val="24"/>
                <w:szCs w:val="24"/>
              </w:rPr>
            </w:pPr>
            <w:r>
              <w:rPr>
                <w:rFonts w:eastAsia="MS PGothic" w:cs="Times"/>
              </w:rPr>
              <w:t>FFS : Whether the specification needs to be updated or not</w:t>
            </w:r>
          </w:p>
          <w:p w:rsidR="002A206A" w:rsidRDefault="00986B44">
            <w:pPr>
              <w:snapToGrid w:val="0"/>
              <w:spacing w:after="0" w:line="240" w:lineRule="auto"/>
              <w:rPr>
                <w:rFonts w:eastAsia="Batang" w:cs="Times"/>
                <w:sz w:val="18"/>
                <w:szCs w:val="18"/>
              </w:rPr>
            </w:pPr>
            <w:r>
              <w:rPr>
                <w:rFonts w:cs="Times"/>
                <w:sz w:val="18"/>
                <w:szCs w:val="18"/>
              </w:rPr>
              <w:t xml:space="preserve"> </w:t>
            </w:r>
          </w:p>
          <w:p w:rsidR="002A206A" w:rsidRDefault="00986B44">
            <w:pPr>
              <w:snapToGrid w:val="0"/>
              <w:spacing w:after="0" w:line="240" w:lineRule="auto"/>
              <w:rPr>
                <w:rFonts w:eastAsia="宋体" w:cs="Times"/>
                <w:sz w:val="18"/>
                <w:szCs w:val="18"/>
                <w:u w:val="single"/>
              </w:rPr>
            </w:pPr>
            <w:r>
              <w:rPr>
                <w:rStyle w:val="160"/>
                <w:rFonts w:ascii="Times" w:hAnsi="Times" w:cs="Times"/>
                <w:b w:val="0"/>
                <w:bCs w:val="0"/>
                <w:u w:val="single"/>
              </w:rPr>
              <w:t>Agreement</w:t>
            </w:r>
            <w:r>
              <w:rPr>
                <w:rStyle w:val="160"/>
                <w:rFonts w:ascii="Times" w:eastAsia="宋体" w:hAnsi="Times" w:cs="Times" w:hint="eastAsia"/>
                <w:b w:val="0"/>
                <w:bCs w:val="0"/>
                <w:u w:val="single"/>
              </w:rPr>
              <w:t xml:space="preserve"> in RAN1#105-e</w:t>
            </w:r>
          </w:p>
          <w:p w:rsidR="002A206A" w:rsidRDefault="00986B44">
            <w:pPr>
              <w:snapToGrid w:val="0"/>
              <w:spacing w:after="0" w:line="240" w:lineRule="auto"/>
              <w:rPr>
                <w:rFonts w:cs="Times"/>
                <w:sz w:val="18"/>
                <w:szCs w:val="18"/>
              </w:rPr>
            </w:pPr>
            <w:r>
              <w:rPr>
                <w:rFonts w:cs="Times"/>
              </w:rPr>
              <w:t>Down select one from the following two options in RAN1#106-e meeting to determine which UL CCs other than the source CC should be used for SRS carrier switching priority rules:</w:t>
            </w:r>
          </w:p>
          <w:p w:rsidR="002A206A" w:rsidRDefault="00986B44">
            <w:pPr>
              <w:numPr>
                <w:ilvl w:val="0"/>
                <w:numId w:val="6"/>
              </w:numPr>
              <w:snapToGrid w:val="0"/>
              <w:spacing w:after="0" w:line="240" w:lineRule="auto"/>
              <w:rPr>
                <w:rFonts w:eastAsia="MS PGothic" w:cs="Times"/>
                <w:sz w:val="24"/>
                <w:szCs w:val="24"/>
              </w:rPr>
            </w:pPr>
            <w:r>
              <w:rPr>
                <w:rFonts w:eastAsia="MS PGothic" w:cs="Times"/>
              </w:rPr>
              <w:t>Option 1: The UL CCs  in the same band as the source CC</w:t>
            </w:r>
          </w:p>
          <w:p w:rsidR="002A206A" w:rsidRDefault="00986B44">
            <w:pPr>
              <w:numPr>
                <w:ilvl w:val="0"/>
                <w:numId w:val="6"/>
              </w:numPr>
              <w:snapToGrid w:val="0"/>
              <w:spacing w:after="0" w:line="240" w:lineRule="auto"/>
              <w:rPr>
                <w:rFonts w:eastAsia="MS PGothic" w:cs="Times"/>
              </w:rPr>
            </w:pPr>
            <w:r>
              <w:rPr>
                <w:rFonts w:eastAsia="MS PGothic" w:cs="Times"/>
              </w:rPr>
              <w:t xml:space="preserve">Option 2: The UL CCs can be any carriers which result in uplink transmissions beyond the </w:t>
            </w:r>
            <w:proofErr w:type="gramStart"/>
            <w:r>
              <w:rPr>
                <w:rFonts w:eastAsia="MS PGothic" w:cs="Times"/>
              </w:rPr>
              <w:t>UE ’s</w:t>
            </w:r>
            <w:proofErr w:type="gramEnd"/>
            <w:r>
              <w:rPr>
                <w:rFonts w:eastAsia="MS PGothic" w:cs="Times"/>
              </w:rPr>
              <w:t xml:space="preserve"> indicated uplink carrier aggregation capability.</w:t>
            </w:r>
          </w:p>
          <w:p w:rsidR="002A206A" w:rsidRDefault="00986B44">
            <w:pPr>
              <w:numPr>
                <w:ilvl w:val="1"/>
                <w:numId w:val="6"/>
              </w:numPr>
              <w:snapToGrid w:val="0"/>
              <w:spacing w:after="0" w:line="240" w:lineRule="auto"/>
              <w:rPr>
                <w:rFonts w:eastAsia="MS PGothic" w:cs="Times"/>
              </w:rPr>
            </w:pPr>
            <w:r>
              <w:rPr>
                <w:rFonts w:eastAsia="MS PGothic" w:cs="Times"/>
              </w:rPr>
              <w:t>Companies should indicate how “UE’s indicated uplink CA capability” is derived based on current ASN.1 signaling.</w:t>
            </w:r>
          </w:p>
          <w:p w:rsidR="002A206A" w:rsidRDefault="002A206A">
            <w:pPr>
              <w:snapToGrid w:val="0"/>
              <w:spacing w:after="0" w:line="240" w:lineRule="auto"/>
              <w:rPr>
                <w:rFonts w:eastAsia="MS PGothic" w:cs="Times"/>
              </w:rPr>
            </w:pPr>
          </w:p>
          <w:p w:rsidR="002A206A" w:rsidRDefault="00986B44">
            <w:pPr>
              <w:snapToGrid w:val="0"/>
              <w:spacing w:after="0" w:line="240" w:lineRule="auto"/>
              <w:rPr>
                <w:rStyle w:val="160"/>
                <w:rFonts w:ascii="Times" w:eastAsia="宋体" w:hAnsi="Times" w:cs="Times"/>
                <w:b w:val="0"/>
                <w:bCs w:val="0"/>
                <w:u w:val="single"/>
              </w:rPr>
            </w:pPr>
            <w:r>
              <w:rPr>
                <w:rStyle w:val="160"/>
                <w:rFonts w:ascii="Times" w:eastAsia="宋体" w:hAnsi="Times" w:cs="Times"/>
                <w:b w:val="0"/>
                <w:bCs w:val="0"/>
                <w:u w:val="single"/>
              </w:rPr>
              <w:t>Agreement</w:t>
            </w:r>
            <w:r>
              <w:rPr>
                <w:rStyle w:val="160"/>
                <w:rFonts w:ascii="Times" w:eastAsia="宋体" w:hAnsi="Times" w:cs="Times" w:hint="eastAsia"/>
                <w:b w:val="0"/>
                <w:bCs w:val="0"/>
                <w:u w:val="single"/>
              </w:rPr>
              <w:t xml:space="preserve"> in RAN1#106-e</w:t>
            </w:r>
          </w:p>
          <w:p w:rsidR="002A206A" w:rsidRDefault="00986B44">
            <w:pPr>
              <w:rPr>
                <w:bCs/>
              </w:rPr>
            </w:pPr>
            <w:r>
              <w:rPr>
                <w:bCs/>
              </w:rPr>
              <w:t xml:space="preserve">For a target CC, when multiple aperiodic SRS resource sets for carrier switching are triggered by the same DCI and all the SRS resource sets will be transmitted according to the dropping rule, regarding UE </w:t>
            </w:r>
            <w:proofErr w:type="spellStart"/>
            <w:r>
              <w:rPr>
                <w:bCs/>
              </w:rPr>
              <w:t>behaviour</w:t>
            </w:r>
            <w:proofErr w:type="spellEnd"/>
            <w:r>
              <w:rPr>
                <w:bCs/>
              </w:rPr>
              <w:t xml:space="preserve"> on switching back to the source CC after transmitting one SRS resource set, further discuss the following alternatives:</w:t>
            </w:r>
          </w:p>
          <w:p w:rsidR="002A206A" w:rsidRDefault="00986B44">
            <w:pPr>
              <w:numPr>
                <w:ilvl w:val="0"/>
                <w:numId w:val="7"/>
              </w:numPr>
              <w:rPr>
                <w:bCs/>
              </w:rPr>
            </w:pPr>
            <w:r>
              <w:rPr>
                <w:bCs/>
              </w:rPr>
              <w:t>Alt 1) The behavior depends on the UE implementation</w:t>
            </w:r>
          </w:p>
          <w:p w:rsidR="002A206A" w:rsidRDefault="00986B44">
            <w:pPr>
              <w:numPr>
                <w:ilvl w:val="0"/>
                <w:numId w:val="7"/>
              </w:numPr>
              <w:rPr>
                <w:bCs/>
              </w:rPr>
            </w:pPr>
            <w:r>
              <w:rPr>
                <w:bCs/>
              </w:rPr>
              <w:t>Alt 2) UE stays in the target CC in the period between the SRS resource sets.</w:t>
            </w:r>
          </w:p>
          <w:p w:rsidR="002A206A" w:rsidRDefault="00986B44">
            <w:pPr>
              <w:numPr>
                <w:ilvl w:val="0"/>
                <w:numId w:val="7"/>
              </w:numPr>
              <w:rPr>
                <w:bCs/>
              </w:rPr>
            </w:pPr>
            <w:r>
              <w:rPr>
                <w:bCs/>
              </w:rPr>
              <w:t xml:space="preserve">Alt 3) If the time period between the SRS resource sets is smaller than the total required RF switching time to the source CC and back to the target CC </w:t>
            </w:r>
            <w:r>
              <w:rPr>
                <w:rFonts w:hint="eastAsia"/>
                <w:bCs/>
              </w:rPr>
              <w:t>and a higher priority UL transmission and/or DL reception is not scheduled on the source CC in the time period between the two SRS resources sets</w:t>
            </w:r>
            <w:r>
              <w:rPr>
                <w:bCs/>
              </w:rPr>
              <w:t>, the UE stays in the target CC in the period between the SRS resource sets; otherwise, the UE switches back to the source CC after transmitting each SRS resource set.</w:t>
            </w:r>
          </w:p>
          <w:p w:rsidR="002A206A" w:rsidRDefault="00986B44">
            <w:pPr>
              <w:numPr>
                <w:ilvl w:val="0"/>
                <w:numId w:val="7"/>
              </w:numPr>
              <w:rPr>
                <w:bCs/>
              </w:rPr>
            </w:pPr>
            <w:r>
              <w:rPr>
                <w:bCs/>
              </w:rPr>
              <w:t>Alt 4) UE switches back to source CC between the SRS resource sets</w:t>
            </w:r>
          </w:p>
          <w:p w:rsidR="002A206A" w:rsidRDefault="00986B44">
            <w:pPr>
              <w:snapToGrid w:val="0"/>
              <w:spacing w:after="0" w:line="240" w:lineRule="auto"/>
              <w:rPr>
                <w:rStyle w:val="160"/>
                <w:rFonts w:ascii="Times" w:eastAsia="宋体" w:hAnsi="Times" w:cs="Times"/>
                <w:b w:val="0"/>
                <w:bCs w:val="0"/>
                <w:u w:val="single"/>
              </w:rPr>
            </w:pPr>
            <w:r>
              <w:rPr>
                <w:rStyle w:val="160"/>
                <w:rFonts w:ascii="Times" w:eastAsia="宋体" w:hAnsi="Times" w:cs="Times"/>
                <w:b w:val="0"/>
                <w:bCs w:val="0"/>
                <w:u w:val="single"/>
              </w:rPr>
              <w:t>Agreement</w:t>
            </w:r>
            <w:r>
              <w:rPr>
                <w:rStyle w:val="160"/>
                <w:rFonts w:ascii="Times" w:eastAsia="宋体" w:hAnsi="Times" w:cs="Times" w:hint="eastAsia"/>
                <w:b w:val="0"/>
                <w:bCs w:val="0"/>
                <w:u w:val="single"/>
              </w:rPr>
              <w:t xml:space="preserve"> in RAN1#106-e</w:t>
            </w:r>
          </w:p>
          <w:p w:rsidR="002A206A" w:rsidRDefault="00986B44">
            <w:pPr>
              <w:rPr>
                <w:bCs/>
              </w:rPr>
            </w:pPr>
            <w:r>
              <w:rPr>
                <w:bCs/>
              </w:rPr>
              <w:t>For a target CC, In the case that multiple SRS resource sets are triggered by the same DCI, regarding the applicable timeline(s), further discuss the following alternatives:</w:t>
            </w:r>
          </w:p>
          <w:p w:rsidR="002A206A" w:rsidRDefault="00986B44">
            <w:pPr>
              <w:numPr>
                <w:ilvl w:val="0"/>
                <w:numId w:val="7"/>
              </w:numPr>
              <w:rPr>
                <w:bCs/>
              </w:rPr>
            </w:pPr>
            <w:r>
              <w:rPr>
                <w:bCs/>
              </w:rPr>
              <w:t>Alt 1) Individual timeline is applied to each triggered SRS resource set</w:t>
            </w:r>
          </w:p>
          <w:p w:rsidR="002A206A" w:rsidRDefault="00986B44">
            <w:pPr>
              <w:numPr>
                <w:ilvl w:val="1"/>
                <w:numId w:val="7"/>
              </w:numPr>
              <w:rPr>
                <w:bCs/>
              </w:rPr>
            </w:pPr>
            <w:r>
              <w:rPr>
                <w:bCs/>
              </w:rPr>
              <w:lastRenderedPageBreak/>
              <w:t>“Individual timeline” means that for each SRS resource set, the deadline to consider DCI triggering the SRS resource set or other uplink signals is applied and decision is made independently amongst the SRS resource sets.</w:t>
            </w:r>
          </w:p>
          <w:p w:rsidR="002A206A" w:rsidRDefault="00986B44">
            <w:pPr>
              <w:numPr>
                <w:ilvl w:val="0"/>
                <w:numId w:val="7"/>
              </w:numPr>
              <w:rPr>
                <w:bCs/>
              </w:rPr>
            </w:pPr>
            <w:r>
              <w:rPr>
                <w:bCs/>
              </w:rPr>
              <w:t>Alt 2) The same timeline is applied to all the triggered SRS resource sets</w:t>
            </w:r>
          </w:p>
          <w:p w:rsidR="002A206A" w:rsidRDefault="00986B44">
            <w:pPr>
              <w:numPr>
                <w:ilvl w:val="1"/>
                <w:numId w:val="7"/>
              </w:numPr>
              <w:rPr>
                <w:rFonts w:eastAsia="MS PGothic" w:cs="Times"/>
              </w:rPr>
            </w:pPr>
            <w:r>
              <w:rPr>
                <w:bCs/>
              </w:rPr>
              <w:t>“Same timeline” means that the deadline to consider DCI triggering the SRS resource sets or other uplink signals is applied considering the multiple SRS resource sets as a whole so that a single decision on collision handling is made for these SRS resource sets.</w:t>
            </w:r>
          </w:p>
        </w:tc>
      </w:tr>
    </w:tbl>
    <w:p w:rsidR="002A206A" w:rsidRDefault="00986B44">
      <w:pPr>
        <w:snapToGrid w:val="0"/>
        <w:spacing w:beforeLines="50" w:before="120" w:after="50" w:line="240" w:lineRule="auto"/>
        <w:jc w:val="both"/>
        <w:rPr>
          <w:rFonts w:eastAsia="微软雅黑"/>
          <w:szCs w:val="20"/>
        </w:rPr>
      </w:pPr>
      <w:r>
        <w:rPr>
          <w:rFonts w:eastAsia="微软雅黑"/>
          <w:szCs w:val="20"/>
        </w:rPr>
        <w:lastRenderedPageBreak/>
        <w:t xml:space="preserve">In this contribution, we provide our views on </w:t>
      </w:r>
      <w:r>
        <w:rPr>
          <w:rFonts w:eastAsia="微软雅黑" w:hint="eastAsia"/>
          <w:szCs w:val="20"/>
        </w:rPr>
        <w:t xml:space="preserve">ambiguous issues in </w:t>
      </w:r>
      <w:r>
        <w:rPr>
          <w:rFonts w:eastAsia="微软雅黑"/>
          <w:szCs w:val="20"/>
        </w:rPr>
        <w:t xml:space="preserve">the prioritization rules for SRS carrier switching. Because it may have backward compatible issues for Rel-15, we propose to </w:t>
      </w:r>
      <w:r>
        <w:rPr>
          <w:rFonts w:eastAsia="微软雅黑" w:hint="eastAsia"/>
          <w:szCs w:val="20"/>
        </w:rPr>
        <w:t>specify the solutions</w:t>
      </w:r>
      <w:r>
        <w:rPr>
          <w:rFonts w:eastAsia="微软雅黑"/>
          <w:szCs w:val="20"/>
        </w:rPr>
        <w:t xml:space="preserve"> for Rel-16</w:t>
      </w:r>
      <w:r>
        <w:rPr>
          <w:rFonts w:eastAsia="微软雅黑" w:hint="eastAsia"/>
          <w:szCs w:val="20"/>
        </w:rPr>
        <w:t xml:space="preserve"> specification</w:t>
      </w:r>
      <w:r>
        <w:rPr>
          <w:rFonts w:eastAsia="微软雅黑"/>
          <w:szCs w:val="20"/>
        </w:rPr>
        <w:t xml:space="preserve">. </w:t>
      </w:r>
    </w:p>
    <w:p w:rsidR="002A206A" w:rsidRDefault="002A206A">
      <w:pPr>
        <w:snapToGrid w:val="0"/>
        <w:spacing w:beforeLines="50" w:before="120" w:after="50" w:line="240" w:lineRule="auto"/>
        <w:jc w:val="both"/>
        <w:rPr>
          <w:rFonts w:eastAsia="微软雅黑"/>
          <w:szCs w:val="20"/>
        </w:rPr>
      </w:pPr>
    </w:p>
    <w:p w:rsidR="002A206A" w:rsidRDefault="00986B44">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宋体"/>
        </w:rPr>
      </w:pPr>
      <w:r>
        <w:rPr>
          <w:rFonts w:eastAsia="Arial Unicode MS"/>
          <w:b/>
          <w:bCs/>
          <w:sz w:val="28"/>
          <w:szCs w:val="28"/>
        </w:rPr>
        <w:t>Discussion</w:t>
      </w:r>
    </w:p>
    <w:p w:rsidR="002A206A" w:rsidRDefault="00986B44">
      <w:pPr>
        <w:snapToGrid w:val="0"/>
        <w:spacing w:beforeLines="50" w:before="120" w:afterLines="50" w:after="120" w:line="240" w:lineRule="auto"/>
        <w:jc w:val="both"/>
        <w:rPr>
          <w:rFonts w:eastAsia="宋体"/>
          <w:i/>
          <w:iCs/>
          <w:color w:val="000000"/>
          <w:szCs w:val="20"/>
        </w:rPr>
      </w:pPr>
      <w:r>
        <w:rPr>
          <w:rFonts w:eastAsiaTheme="minorEastAsia" w:hint="eastAsia"/>
        </w:rPr>
        <w:t>I</w:t>
      </w:r>
      <w:r>
        <w:rPr>
          <w:rFonts w:eastAsiaTheme="minorEastAsia"/>
        </w:rPr>
        <w:t xml:space="preserve">n Rel-15, there was no much discussion on SRS carrier </w:t>
      </w:r>
      <w:r>
        <w:rPr>
          <w:rFonts w:eastAsiaTheme="minorEastAsia" w:hint="eastAsia"/>
        </w:rPr>
        <w:t>switching</w:t>
      </w:r>
      <w:r>
        <w:rPr>
          <w:rFonts w:eastAsiaTheme="minorEastAsia"/>
        </w:rPr>
        <w:t xml:space="preserve"> because of very limited time at the late stage of Rel-15. The only agreement was made in RAN1#90bis to strive for reusing Rel-14 LTE SRS carrier switching mechanism. The </w:t>
      </w:r>
      <w:r>
        <w:rPr>
          <w:rFonts w:eastAsiaTheme="minorEastAsia" w:hint="eastAsia"/>
        </w:rPr>
        <w:t>relevant</w:t>
      </w:r>
      <w:r>
        <w:rPr>
          <w:rFonts w:eastAsiaTheme="minorEastAsia"/>
        </w:rPr>
        <w:t xml:space="preserve"> specification description for NR can be found in 38.214 section 6.2.1.3. </w:t>
      </w:r>
      <w:r>
        <w:rPr>
          <w:rFonts w:eastAsiaTheme="minorEastAsia" w:hint="eastAsia"/>
        </w:rPr>
        <w:t>A</w:t>
      </w:r>
      <w:r>
        <w:rPr>
          <w:rFonts w:eastAsiaTheme="minorEastAsia"/>
        </w:rPr>
        <w:t xml:space="preserve">fter that, the prioritization handling rules for SRS carrier switching in LTE have been updated. In general, it assumes that the prioritization rules are used between SRS transmission in </w:t>
      </w:r>
      <w:r>
        <w:rPr>
          <w:rFonts w:eastAsiaTheme="minorEastAsia" w:hint="eastAsia"/>
        </w:rPr>
        <w:t xml:space="preserve">target carrier </w:t>
      </w:r>
      <w:r>
        <w:rPr>
          <w:rFonts w:eastAsiaTheme="minorEastAsia"/>
          <w:i/>
        </w:rPr>
        <w:t>c</w:t>
      </w:r>
      <w:r>
        <w:rPr>
          <w:rFonts w:eastAsiaTheme="minorEastAsia"/>
          <w:i/>
          <w:vertAlign w:val="subscript"/>
        </w:rPr>
        <w:t>1</w:t>
      </w:r>
      <w:r>
        <w:rPr>
          <w:rFonts w:eastAsiaTheme="minorEastAsia"/>
        </w:rPr>
        <w:t xml:space="preserve"> and other UL signal(s) in a </w:t>
      </w:r>
      <w:r>
        <w:rPr>
          <w:rFonts w:eastAsiaTheme="minorEastAsia" w:hint="eastAsia"/>
        </w:rPr>
        <w:t>carrier</w:t>
      </w:r>
      <w:r>
        <w:rPr>
          <w:rFonts w:eastAsiaTheme="minorEastAsia"/>
        </w:rPr>
        <w:t xml:space="preserve"> </w:t>
      </w:r>
      <w:r>
        <w:rPr>
          <w:rFonts w:eastAsiaTheme="minorEastAsia"/>
          <w:i/>
        </w:rPr>
        <w:t>c</w:t>
      </w:r>
      <w:r>
        <w:rPr>
          <w:rFonts w:eastAsiaTheme="minorEastAsia"/>
          <w:i/>
          <w:vertAlign w:val="subscript"/>
        </w:rPr>
        <w:t xml:space="preserve">2 </w:t>
      </w:r>
      <w:r>
        <w:rPr>
          <w:rFonts w:eastAsiaTheme="minorEastAsia"/>
        </w:rPr>
        <w:t xml:space="preserve">where </w:t>
      </w:r>
      <w:r>
        <w:rPr>
          <w:rFonts w:eastAsiaTheme="minorEastAsia"/>
          <w:i/>
        </w:rPr>
        <w:t>c</w:t>
      </w:r>
      <w:r>
        <w:rPr>
          <w:rFonts w:eastAsiaTheme="minorEastAsia"/>
          <w:i/>
          <w:vertAlign w:val="subscript"/>
        </w:rPr>
        <w:t xml:space="preserve">2 </w:t>
      </w:r>
      <w:r>
        <w:rPr>
          <w:rFonts w:eastAsiaTheme="minorEastAsia" w:hint="eastAsia"/>
          <w:i/>
          <w:vertAlign w:val="subscript"/>
        </w:rPr>
        <w:t xml:space="preserve"> </w:t>
      </w:r>
      <w:r>
        <w:rPr>
          <w:rFonts w:eastAsiaTheme="minorEastAsia"/>
        </w:rPr>
        <w:t xml:space="preserve">is any one </w:t>
      </w:r>
      <w:r>
        <w:rPr>
          <w:rFonts w:eastAsiaTheme="minorEastAsia" w:hint="eastAsia"/>
        </w:rPr>
        <w:t>carrier</w:t>
      </w:r>
      <w:r>
        <w:rPr>
          <w:rFonts w:eastAsiaTheme="minorEastAsia"/>
        </w:rPr>
        <w:t xml:space="preserve"> which is in the same band with </w:t>
      </w:r>
      <w:r>
        <w:rPr>
          <w:rFonts w:eastAsia="宋体"/>
          <w:iCs/>
          <w:color w:val="000000"/>
          <w:szCs w:val="20"/>
        </w:rPr>
        <w:t>switching from</w:t>
      </w:r>
      <w:r>
        <w:rPr>
          <w:rFonts w:eastAsia="宋体" w:hint="eastAsia"/>
          <w:iCs/>
          <w:color w:val="000000"/>
          <w:szCs w:val="20"/>
        </w:rPr>
        <w:t xml:space="preserve"> (or called source carrier)</w:t>
      </w:r>
      <w:r>
        <w:rPr>
          <w:rFonts w:eastAsia="宋体"/>
          <w:iCs/>
          <w:color w:val="000000"/>
          <w:szCs w:val="20"/>
        </w:rPr>
        <w:t xml:space="preserve"> carrier</w:t>
      </w:r>
      <w:r>
        <w:rPr>
          <w:rFonts w:eastAsia="宋体"/>
          <w:i/>
          <w:iCs/>
          <w:color w:val="000000"/>
          <w:szCs w:val="20"/>
        </w:rPr>
        <w:t xml:space="preserve"> c</w:t>
      </w:r>
      <w:r>
        <w:rPr>
          <w:rFonts w:eastAsia="宋体"/>
          <w:i/>
          <w:iCs/>
          <w:color w:val="000000"/>
          <w:szCs w:val="20"/>
          <w:vertAlign w:val="subscript"/>
        </w:rPr>
        <w:t>s</w:t>
      </w:r>
      <w:r>
        <w:rPr>
          <w:rFonts w:eastAsia="宋体"/>
          <w:i/>
          <w:iCs/>
          <w:color w:val="000000"/>
          <w:szCs w:val="20"/>
        </w:rPr>
        <w:t xml:space="preserve">. </w:t>
      </w:r>
    </w:p>
    <w:p w:rsidR="002A206A" w:rsidRDefault="00986B44">
      <w:pPr>
        <w:snapToGrid w:val="0"/>
        <w:spacing w:beforeLines="50" w:before="120" w:afterLines="50" w:after="120" w:line="240" w:lineRule="auto"/>
        <w:jc w:val="both"/>
        <w:rPr>
          <w:rFonts w:eastAsiaTheme="minorEastAsia"/>
        </w:rPr>
      </w:pPr>
      <w:r>
        <w:rPr>
          <w:rFonts w:eastAsiaTheme="minorEastAsia" w:hint="eastAsia"/>
        </w:rPr>
        <w:t>H</w:t>
      </w:r>
      <w:r>
        <w:rPr>
          <w:rFonts w:eastAsiaTheme="minorEastAsia"/>
        </w:rPr>
        <w:t xml:space="preserve">owever, the NR specification has not been </w:t>
      </w:r>
      <w:r>
        <w:rPr>
          <w:rFonts w:eastAsiaTheme="minorEastAsia" w:hint="eastAsia"/>
        </w:rPr>
        <w:t>updated</w:t>
      </w:r>
      <w:r>
        <w:rPr>
          <w:rFonts w:eastAsiaTheme="minorEastAsia"/>
        </w:rPr>
        <w:t xml:space="preserve"> accordingly. Thus, it is unclear which serving cells should be applied in the prioritization rules for NR SRS carrier switching. </w:t>
      </w:r>
    </w:p>
    <w:p w:rsidR="002A206A" w:rsidRDefault="00986B44">
      <w:pPr>
        <w:snapToGrid w:val="0"/>
        <w:spacing w:beforeLines="50" w:before="120" w:afterLines="50" w:after="120" w:line="240" w:lineRule="auto"/>
        <w:jc w:val="both"/>
        <w:rPr>
          <w:rFonts w:eastAsiaTheme="minorEastAsia"/>
        </w:rPr>
      </w:pPr>
      <w:r>
        <w:rPr>
          <w:rFonts w:eastAsiaTheme="minorEastAsia"/>
        </w:rPr>
        <w:t>So we propose to</w:t>
      </w:r>
      <w:r>
        <w:rPr>
          <w:rFonts w:eastAsiaTheme="minorEastAsia" w:hint="eastAsia"/>
        </w:rPr>
        <w:t xml:space="preserve"> simply</w:t>
      </w:r>
      <w:r>
        <w:rPr>
          <w:rFonts w:eastAsiaTheme="minorEastAsia"/>
        </w:rPr>
        <w:t xml:space="preserve"> reuse LTE approach for NR prioritizat</w:t>
      </w:r>
      <w:r>
        <w:rPr>
          <w:rFonts w:eastAsiaTheme="minorEastAsia" w:hint="eastAsia"/>
        </w:rPr>
        <w:t>i</w:t>
      </w:r>
      <w:r>
        <w:rPr>
          <w:rFonts w:eastAsiaTheme="minorEastAsia"/>
        </w:rPr>
        <w:t xml:space="preserve">on rules of SRS carrier switching, i.e. Option 1 in above second agreement. </w:t>
      </w:r>
      <w:r>
        <w:rPr>
          <w:szCs w:val="20"/>
        </w:rPr>
        <w:t xml:space="preserve">  </w:t>
      </w:r>
    </w:p>
    <w:p w:rsidR="002A206A" w:rsidRDefault="00986B44">
      <w:pPr>
        <w:snapToGrid w:val="0"/>
        <w:spacing w:before="50" w:after="50" w:line="240" w:lineRule="auto"/>
        <w:jc w:val="both"/>
        <w:rPr>
          <w:rFonts w:eastAsiaTheme="minorEastAsia"/>
          <w:i/>
        </w:rPr>
      </w:pPr>
      <w:r>
        <w:rPr>
          <w:b/>
          <w:i/>
          <w:szCs w:val="20"/>
        </w:rPr>
        <w:t>Proposal 1:</w:t>
      </w:r>
      <w:r>
        <w:rPr>
          <w:i/>
          <w:szCs w:val="20"/>
        </w:rPr>
        <w:t xml:space="preserve"> </w:t>
      </w:r>
      <w:r>
        <w:rPr>
          <w:rFonts w:eastAsiaTheme="minorEastAsia"/>
          <w:i/>
        </w:rPr>
        <w:t>T</w:t>
      </w:r>
      <w:r>
        <w:rPr>
          <w:rFonts w:eastAsia="MS PGothic" w:cs="Times"/>
          <w:i/>
        </w:rPr>
        <w:t xml:space="preserve">he UL CCs in the same band as the source CC </w:t>
      </w:r>
      <w:r>
        <w:rPr>
          <w:rFonts w:cs="Times"/>
          <w:i/>
        </w:rPr>
        <w:t>should be used for SRS carrier switching priority rules</w:t>
      </w:r>
      <w:r>
        <w:rPr>
          <w:rFonts w:eastAsiaTheme="minorEastAsia"/>
          <w:i/>
        </w:rPr>
        <w:t>.</w:t>
      </w:r>
    </w:p>
    <w:p w:rsidR="002A206A" w:rsidRDefault="002A206A">
      <w:pPr>
        <w:snapToGrid w:val="0"/>
        <w:spacing w:before="50" w:after="50" w:line="240" w:lineRule="auto"/>
        <w:jc w:val="both"/>
        <w:rPr>
          <w:rFonts w:eastAsiaTheme="minorEastAsia"/>
          <w:i/>
        </w:rPr>
      </w:pPr>
    </w:p>
    <w:p w:rsidR="002A206A" w:rsidRDefault="00986B44">
      <w:pPr>
        <w:snapToGrid w:val="0"/>
        <w:spacing w:beforeLines="50" w:before="120" w:afterLines="50" w:after="120" w:line="240" w:lineRule="auto"/>
        <w:jc w:val="both"/>
        <w:rPr>
          <w:rFonts w:eastAsia="宋体"/>
          <w:bCs/>
        </w:rPr>
      </w:pPr>
      <w:r>
        <w:rPr>
          <w:rFonts w:eastAsiaTheme="minorEastAsia" w:hint="eastAsia"/>
        </w:rPr>
        <w:t>With respect to the third agreement listed in section 1, f</w:t>
      </w:r>
      <w:r>
        <w:rPr>
          <w:bCs/>
        </w:rPr>
        <w:t xml:space="preserve">or a target CC, when multiple aperiodic SRS resource sets for carrier switching are triggered by the same DCI and all the SRS resource sets will be transmitted according to the dropping rule, </w:t>
      </w:r>
      <w:r>
        <w:rPr>
          <w:rFonts w:eastAsia="宋体" w:hint="eastAsia"/>
          <w:bCs/>
        </w:rPr>
        <w:t xml:space="preserve">we propose to clearly specify </w:t>
      </w:r>
      <w:r>
        <w:rPr>
          <w:bCs/>
        </w:rPr>
        <w:t xml:space="preserve">UE </w:t>
      </w:r>
      <w:r w:rsidR="00E46D91">
        <w:rPr>
          <w:bCs/>
        </w:rPr>
        <w:t>behavior</w:t>
      </w:r>
      <w:bookmarkStart w:id="0" w:name="_GoBack"/>
      <w:bookmarkEnd w:id="0"/>
      <w:r>
        <w:rPr>
          <w:bCs/>
        </w:rPr>
        <w:t xml:space="preserve"> after transmitting one SRS resource set</w:t>
      </w:r>
      <w:r>
        <w:rPr>
          <w:rFonts w:eastAsia="宋体" w:hint="eastAsia"/>
          <w:bCs/>
        </w:rPr>
        <w:t xml:space="preserve">. Then, </w:t>
      </w:r>
      <w:proofErr w:type="spellStart"/>
      <w:r>
        <w:rPr>
          <w:rFonts w:eastAsia="宋体" w:hint="eastAsia"/>
          <w:bCs/>
        </w:rPr>
        <w:t>gNB</w:t>
      </w:r>
      <w:proofErr w:type="spellEnd"/>
      <w:r>
        <w:rPr>
          <w:rFonts w:eastAsia="宋体" w:hint="eastAsia"/>
          <w:bCs/>
        </w:rPr>
        <w:t xml:space="preserve"> can determine a proper time gap between two SRS resource sets when configuring SRS parameters by RRC signaling. Hence, Alt1, i.e. t</w:t>
      </w:r>
      <w:r>
        <w:rPr>
          <w:bCs/>
        </w:rPr>
        <w:t>he behavior depend</w:t>
      </w:r>
      <w:r>
        <w:rPr>
          <w:rFonts w:eastAsia="宋体" w:hint="eastAsia"/>
          <w:bCs/>
        </w:rPr>
        <w:t>ing</w:t>
      </w:r>
      <w:r>
        <w:rPr>
          <w:bCs/>
        </w:rPr>
        <w:t xml:space="preserve"> on the UE implementation</w:t>
      </w:r>
      <w:r>
        <w:rPr>
          <w:rFonts w:eastAsia="宋体" w:hint="eastAsia"/>
          <w:bCs/>
        </w:rPr>
        <w:t xml:space="preserve"> is not preferred. </w:t>
      </w:r>
    </w:p>
    <w:p w:rsidR="002A206A" w:rsidRDefault="00986B44">
      <w:pPr>
        <w:snapToGrid w:val="0"/>
        <w:spacing w:beforeLines="50" w:before="120" w:afterLines="50" w:after="120" w:line="240" w:lineRule="auto"/>
        <w:jc w:val="both"/>
        <w:rPr>
          <w:rFonts w:eastAsia="宋体"/>
          <w:bCs/>
        </w:rPr>
      </w:pPr>
      <w:r>
        <w:rPr>
          <w:rFonts w:eastAsia="宋体" w:hint="eastAsia"/>
          <w:bCs/>
        </w:rPr>
        <w:t xml:space="preserve">Among Alt 2, 3 and 4, Alt 2 is our understanding as there is no good motive to trigger UE switching back to source CC if UE has been triggered with the aperiodic SRS transmission for antenna switching. Hence, </w:t>
      </w:r>
      <w:r>
        <w:rPr>
          <w:bCs/>
        </w:rPr>
        <w:t xml:space="preserve">UE </w:t>
      </w:r>
      <w:r>
        <w:rPr>
          <w:rFonts w:eastAsia="宋体" w:hint="eastAsia"/>
          <w:bCs/>
        </w:rPr>
        <w:t xml:space="preserve">should </w:t>
      </w:r>
      <w:r>
        <w:rPr>
          <w:bCs/>
        </w:rPr>
        <w:t>stay in the target CC in the period between the SRS resource sets</w:t>
      </w:r>
      <w:r>
        <w:rPr>
          <w:rFonts w:eastAsia="宋体" w:hint="eastAsia"/>
          <w:bCs/>
        </w:rPr>
        <w:t>, and does not do any reception and transmission during the period in the source CC. In consequence, the unnecessary UE complexity caused by RF tuning is avoid.</w:t>
      </w:r>
    </w:p>
    <w:p w:rsidR="002A206A" w:rsidRDefault="00986B44" w:rsidP="00D9431A">
      <w:pPr>
        <w:jc w:val="both"/>
        <w:rPr>
          <w:bCs/>
        </w:rPr>
      </w:pPr>
      <w:r>
        <w:rPr>
          <w:rFonts w:eastAsia="宋体" w:hint="eastAsia"/>
          <w:b/>
          <w:i/>
          <w:iCs/>
        </w:rPr>
        <w:t xml:space="preserve">Proposal 2: </w:t>
      </w:r>
      <w:r>
        <w:rPr>
          <w:bCs/>
          <w:i/>
          <w:iCs/>
        </w:rPr>
        <w:t xml:space="preserve">For a target CC, when multiple aperiodic SRS resource sets for carrier switching are triggered by the same DCI and all the SRS resource sets will be transmitted according to the dropping rule, regarding UE </w:t>
      </w:r>
      <w:r w:rsidR="00E46D91">
        <w:rPr>
          <w:bCs/>
          <w:i/>
          <w:iCs/>
        </w:rPr>
        <w:t>behavior</w:t>
      </w:r>
      <w:r>
        <w:rPr>
          <w:bCs/>
          <w:i/>
          <w:iCs/>
        </w:rPr>
        <w:t xml:space="preserve">  after transmitting one SRS resource set, </w:t>
      </w:r>
      <w:r>
        <w:rPr>
          <w:rFonts w:eastAsia="宋体" w:hint="eastAsia"/>
          <w:bCs/>
          <w:i/>
          <w:iCs/>
        </w:rPr>
        <w:t xml:space="preserve">Support Alt 2, i.e. </w:t>
      </w:r>
      <w:r>
        <w:rPr>
          <w:bCs/>
          <w:i/>
          <w:iCs/>
        </w:rPr>
        <w:t xml:space="preserve"> UE stays in the target CC in the period between the SRS resource sets.</w:t>
      </w:r>
    </w:p>
    <w:p w:rsidR="002A206A" w:rsidRDefault="00986B44">
      <w:pPr>
        <w:snapToGrid w:val="0"/>
        <w:spacing w:before="50" w:after="50" w:line="240" w:lineRule="auto"/>
        <w:jc w:val="both"/>
        <w:rPr>
          <w:rFonts w:eastAsia="宋体"/>
          <w:bCs/>
        </w:rPr>
      </w:pPr>
      <w:r>
        <w:rPr>
          <w:rFonts w:eastAsiaTheme="minorEastAsia" w:hint="eastAsia"/>
        </w:rPr>
        <w:t>With respect to the fourth agreement listed in section 1, f</w:t>
      </w:r>
      <w:r w:rsidR="000619D6">
        <w:rPr>
          <w:bCs/>
        </w:rPr>
        <w:t>or a target CC, i</w:t>
      </w:r>
      <w:r>
        <w:rPr>
          <w:bCs/>
        </w:rPr>
        <w:t xml:space="preserve">n the case that multiple SRS resource sets are triggered by the same DCI, regarding the applicable timeline(s), </w:t>
      </w:r>
      <w:r>
        <w:rPr>
          <w:rFonts w:eastAsia="宋体" w:hint="eastAsia"/>
          <w:bCs/>
        </w:rPr>
        <w:t>our understanding is Alt 2, i.e. t</w:t>
      </w:r>
      <w:r>
        <w:rPr>
          <w:bCs/>
        </w:rPr>
        <w:t>he same timeline is applied to all the triggered SRS resource sets</w:t>
      </w:r>
      <w:r>
        <w:rPr>
          <w:rFonts w:eastAsia="宋体" w:hint="eastAsia"/>
          <w:bCs/>
        </w:rPr>
        <w:t xml:space="preserve">. From our view, the multiple SRS resource sets for antenna switching should be assumed as a whole when applying priority rules between the SRS and other uplink signals, i.e. the whole SRS for antenna switching is either dropped or transmitted. Otherwise, just a subset of SRS resources for antenna switching may be successfully transmitted to </w:t>
      </w:r>
      <w:proofErr w:type="spellStart"/>
      <w:r>
        <w:rPr>
          <w:rFonts w:eastAsia="宋体" w:hint="eastAsia"/>
          <w:bCs/>
        </w:rPr>
        <w:t>gNB</w:t>
      </w:r>
      <w:proofErr w:type="spellEnd"/>
      <w:r>
        <w:rPr>
          <w:rFonts w:eastAsia="宋体" w:hint="eastAsia"/>
          <w:bCs/>
        </w:rPr>
        <w:t xml:space="preserve">, it is not very helpful to achieve full channel estimation at </w:t>
      </w:r>
      <w:proofErr w:type="spellStart"/>
      <w:r>
        <w:rPr>
          <w:rFonts w:eastAsia="宋体" w:hint="eastAsia"/>
          <w:bCs/>
        </w:rPr>
        <w:t>gNB</w:t>
      </w:r>
      <w:proofErr w:type="spellEnd"/>
      <w:r>
        <w:rPr>
          <w:rFonts w:eastAsia="宋体" w:hint="eastAsia"/>
          <w:bCs/>
        </w:rPr>
        <w:t xml:space="preserve"> side. </w:t>
      </w:r>
    </w:p>
    <w:p w:rsidR="002A206A" w:rsidRDefault="00986B44">
      <w:pPr>
        <w:snapToGrid w:val="0"/>
        <w:spacing w:before="50" w:after="50" w:line="240" w:lineRule="auto"/>
        <w:jc w:val="both"/>
        <w:rPr>
          <w:rFonts w:eastAsiaTheme="minorEastAsia"/>
          <w:i/>
        </w:rPr>
      </w:pPr>
      <w:r>
        <w:rPr>
          <w:rFonts w:eastAsia="宋体" w:hint="eastAsia"/>
          <w:b/>
          <w:i/>
          <w:iCs/>
        </w:rPr>
        <w:lastRenderedPageBreak/>
        <w:t>Proposal 3:</w:t>
      </w:r>
      <w:r>
        <w:rPr>
          <w:rFonts w:eastAsia="宋体" w:hint="eastAsia"/>
          <w:bCs/>
          <w:i/>
          <w:iCs/>
        </w:rPr>
        <w:t xml:space="preserve"> F</w:t>
      </w:r>
      <w:r>
        <w:rPr>
          <w:bCs/>
          <w:i/>
          <w:iCs/>
        </w:rPr>
        <w:t>or a target CC, In the case that multiple SRS resource sets are triggered by the same DCI, regarding the applicable timeline(s)</w:t>
      </w:r>
      <w:r>
        <w:rPr>
          <w:rFonts w:eastAsia="宋体" w:hint="eastAsia"/>
          <w:bCs/>
          <w:i/>
          <w:iCs/>
        </w:rPr>
        <w:t>, t</w:t>
      </w:r>
      <w:r>
        <w:rPr>
          <w:bCs/>
          <w:i/>
          <w:iCs/>
        </w:rPr>
        <w:t xml:space="preserve">he same timeline </w:t>
      </w:r>
      <w:r>
        <w:rPr>
          <w:rFonts w:eastAsia="宋体" w:hint="eastAsia"/>
          <w:bCs/>
          <w:i/>
          <w:iCs/>
        </w:rPr>
        <w:t>should be</w:t>
      </w:r>
      <w:r>
        <w:rPr>
          <w:bCs/>
          <w:i/>
          <w:iCs/>
        </w:rPr>
        <w:t xml:space="preserve"> applied to all the triggered SRS resource sets</w:t>
      </w:r>
    </w:p>
    <w:p w:rsidR="002A206A" w:rsidRDefault="002A206A">
      <w:pPr>
        <w:snapToGrid w:val="0"/>
        <w:spacing w:before="50" w:after="50" w:line="240" w:lineRule="auto"/>
        <w:jc w:val="both"/>
        <w:rPr>
          <w:rFonts w:eastAsiaTheme="minorEastAsia"/>
          <w:i/>
        </w:rPr>
      </w:pPr>
    </w:p>
    <w:p w:rsidR="002A206A" w:rsidRDefault="00986B44">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2A206A" w:rsidRDefault="00986B44">
      <w:pPr>
        <w:widowControl w:val="0"/>
        <w:snapToGrid w:val="0"/>
        <w:spacing w:before="120" w:afterLines="50" w:after="120" w:line="300" w:lineRule="auto"/>
        <w:jc w:val="both"/>
        <w:rPr>
          <w:rFonts w:eastAsia="微软雅黑"/>
          <w:szCs w:val="20"/>
        </w:rPr>
      </w:pPr>
      <w:r>
        <w:rPr>
          <w:rFonts w:eastAsia="微软雅黑" w:hint="eastAsia"/>
          <w:szCs w:val="20"/>
        </w:rPr>
        <w:t>I</w:t>
      </w:r>
      <w:r>
        <w:rPr>
          <w:rFonts w:eastAsia="微软雅黑"/>
          <w:szCs w:val="20"/>
        </w:rPr>
        <w:t xml:space="preserve">n this contribution, we provide our views on NR SRS carrier switching </w:t>
      </w:r>
      <w:r>
        <w:rPr>
          <w:rFonts w:eastAsia="微软雅黑" w:hint="eastAsia"/>
          <w:szCs w:val="20"/>
        </w:rPr>
        <w:t>for</w:t>
      </w:r>
      <w:r>
        <w:rPr>
          <w:rFonts w:eastAsia="微软雅黑"/>
          <w:szCs w:val="20"/>
        </w:rPr>
        <w:t xml:space="preserve"> Rel-16. </w:t>
      </w:r>
    </w:p>
    <w:p w:rsidR="002A206A" w:rsidRDefault="00986B44">
      <w:pPr>
        <w:snapToGrid w:val="0"/>
        <w:spacing w:before="50" w:after="50" w:line="240" w:lineRule="auto"/>
        <w:jc w:val="both"/>
        <w:rPr>
          <w:rFonts w:eastAsiaTheme="minorEastAsia"/>
          <w:i/>
        </w:rPr>
      </w:pPr>
      <w:r>
        <w:rPr>
          <w:b/>
          <w:i/>
          <w:szCs w:val="20"/>
        </w:rPr>
        <w:t>Proposal 1:</w:t>
      </w:r>
      <w:r>
        <w:rPr>
          <w:i/>
          <w:szCs w:val="20"/>
        </w:rPr>
        <w:t xml:space="preserve"> </w:t>
      </w:r>
      <w:r>
        <w:rPr>
          <w:rFonts w:eastAsiaTheme="minorEastAsia"/>
          <w:i/>
        </w:rPr>
        <w:t>T</w:t>
      </w:r>
      <w:r>
        <w:rPr>
          <w:rFonts w:eastAsia="MS PGothic" w:cs="Times"/>
          <w:i/>
        </w:rPr>
        <w:t xml:space="preserve">he UL CCs in the same band as the source CC </w:t>
      </w:r>
      <w:r>
        <w:rPr>
          <w:rFonts w:cs="Times"/>
          <w:i/>
        </w:rPr>
        <w:t>should be used for SRS carrier switching priority rules</w:t>
      </w:r>
      <w:r>
        <w:rPr>
          <w:rFonts w:eastAsiaTheme="minorEastAsia"/>
          <w:i/>
        </w:rPr>
        <w:t>.</w:t>
      </w:r>
    </w:p>
    <w:p w:rsidR="002A206A" w:rsidRDefault="002A206A">
      <w:pPr>
        <w:snapToGrid w:val="0"/>
        <w:spacing w:before="50" w:after="50" w:line="240" w:lineRule="auto"/>
        <w:jc w:val="both"/>
        <w:rPr>
          <w:rFonts w:eastAsiaTheme="minorEastAsia"/>
          <w:i/>
        </w:rPr>
      </w:pPr>
    </w:p>
    <w:p w:rsidR="002A206A" w:rsidRDefault="00986B44" w:rsidP="00D9431A">
      <w:pPr>
        <w:jc w:val="both"/>
        <w:rPr>
          <w:bCs/>
        </w:rPr>
      </w:pPr>
      <w:r>
        <w:rPr>
          <w:rFonts w:eastAsia="宋体" w:hint="eastAsia"/>
          <w:b/>
          <w:i/>
          <w:iCs/>
        </w:rPr>
        <w:t xml:space="preserve">Proposal 2: </w:t>
      </w:r>
      <w:r>
        <w:rPr>
          <w:bCs/>
          <w:i/>
          <w:iCs/>
        </w:rPr>
        <w:t xml:space="preserve">For a target CC, when multiple aperiodic SRS resource sets for carrier switching are triggered by the same DCI and all the SRS resource sets will be transmitted according to the dropping rule, regarding UE </w:t>
      </w:r>
      <w:r w:rsidR="00E46D91">
        <w:rPr>
          <w:bCs/>
          <w:i/>
          <w:iCs/>
        </w:rPr>
        <w:t>behavior</w:t>
      </w:r>
      <w:r>
        <w:rPr>
          <w:bCs/>
          <w:i/>
          <w:iCs/>
        </w:rPr>
        <w:t xml:space="preserve">  after transmitting one SRS resource set, </w:t>
      </w:r>
      <w:r>
        <w:rPr>
          <w:rFonts w:eastAsia="宋体" w:hint="eastAsia"/>
          <w:bCs/>
          <w:i/>
          <w:iCs/>
        </w:rPr>
        <w:t xml:space="preserve">Support Alt 2, i.e. </w:t>
      </w:r>
      <w:r>
        <w:rPr>
          <w:bCs/>
          <w:i/>
          <w:iCs/>
        </w:rPr>
        <w:t xml:space="preserve"> UE stays in the target CC in the period between the SRS resource sets.</w:t>
      </w:r>
    </w:p>
    <w:p w:rsidR="002A206A" w:rsidRDefault="00986B44">
      <w:pPr>
        <w:snapToGrid w:val="0"/>
        <w:spacing w:before="50" w:after="50" w:line="240" w:lineRule="auto"/>
        <w:jc w:val="both"/>
        <w:rPr>
          <w:rFonts w:eastAsiaTheme="minorEastAsia"/>
          <w:i/>
        </w:rPr>
      </w:pPr>
      <w:r>
        <w:rPr>
          <w:rFonts w:eastAsia="宋体" w:hint="eastAsia"/>
          <w:b/>
          <w:i/>
          <w:iCs/>
        </w:rPr>
        <w:t>Proposal 3:</w:t>
      </w:r>
      <w:r>
        <w:rPr>
          <w:rFonts w:eastAsia="宋体" w:hint="eastAsia"/>
          <w:bCs/>
          <w:i/>
          <w:iCs/>
        </w:rPr>
        <w:t xml:space="preserve"> F</w:t>
      </w:r>
      <w:r>
        <w:rPr>
          <w:bCs/>
          <w:i/>
          <w:iCs/>
        </w:rPr>
        <w:t>or a target CC, In the case that multiple SRS resource sets are triggered by the same DCI, regarding the applicable timeline(s)</w:t>
      </w:r>
      <w:r>
        <w:rPr>
          <w:rFonts w:eastAsia="宋体" w:hint="eastAsia"/>
          <w:bCs/>
          <w:i/>
          <w:iCs/>
        </w:rPr>
        <w:t>, t</w:t>
      </w:r>
      <w:r>
        <w:rPr>
          <w:bCs/>
          <w:i/>
          <w:iCs/>
        </w:rPr>
        <w:t xml:space="preserve">he same timeline </w:t>
      </w:r>
      <w:r>
        <w:rPr>
          <w:rFonts w:eastAsia="宋体" w:hint="eastAsia"/>
          <w:bCs/>
          <w:i/>
          <w:iCs/>
        </w:rPr>
        <w:t>should be</w:t>
      </w:r>
      <w:r>
        <w:rPr>
          <w:bCs/>
          <w:i/>
          <w:iCs/>
        </w:rPr>
        <w:t xml:space="preserve"> applied to all the triggered SRS resource sets</w:t>
      </w:r>
    </w:p>
    <w:p w:rsidR="002A206A" w:rsidRDefault="002A206A">
      <w:pPr>
        <w:widowControl w:val="0"/>
        <w:snapToGrid w:val="0"/>
        <w:spacing w:before="120" w:afterLines="50" w:after="120" w:line="300" w:lineRule="auto"/>
        <w:jc w:val="both"/>
        <w:rPr>
          <w:rFonts w:eastAsia="微软雅黑"/>
          <w:szCs w:val="20"/>
        </w:rPr>
      </w:pPr>
    </w:p>
    <w:p w:rsidR="002A206A" w:rsidRDefault="00986B44">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2A206A" w:rsidRDefault="00986B44">
      <w:pPr>
        <w:pStyle w:val="NoSpacing1"/>
        <w:numPr>
          <w:ilvl w:val="0"/>
          <w:numId w:val="8"/>
        </w:numPr>
        <w:snapToGrid w:val="0"/>
        <w:spacing w:after="0" w:line="240" w:lineRule="auto"/>
        <w:jc w:val="both"/>
        <w:rPr>
          <w:bCs/>
          <w:sz w:val="20"/>
          <w:szCs w:val="20"/>
        </w:rPr>
      </w:pPr>
      <w:r>
        <w:rPr>
          <w:bCs/>
          <w:sz w:val="20"/>
          <w:szCs w:val="20"/>
        </w:rPr>
        <w:t>Chair's Notes RAN1#105-e final</w:t>
      </w:r>
    </w:p>
    <w:p w:rsidR="002A206A" w:rsidRDefault="00986B44">
      <w:pPr>
        <w:pStyle w:val="NoSpacing1"/>
        <w:numPr>
          <w:ilvl w:val="0"/>
          <w:numId w:val="8"/>
        </w:numPr>
        <w:snapToGrid w:val="0"/>
        <w:spacing w:after="0" w:line="240" w:lineRule="auto"/>
        <w:jc w:val="both"/>
        <w:rPr>
          <w:bCs/>
          <w:sz w:val="20"/>
          <w:szCs w:val="20"/>
        </w:rPr>
      </w:pPr>
      <w:r>
        <w:rPr>
          <w:bCs/>
          <w:sz w:val="20"/>
          <w:szCs w:val="20"/>
        </w:rPr>
        <w:t>Chair's Notes RAN1#10</w:t>
      </w:r>
      <w:r>
        <w:rPr>
          <w:rFonts w:hint="eastAsia"/>
          <w:bCs/>
          <w:sz w:val="20"/>
          <w:szCs w:val="20"/>
        </w:rPr>
        <w:t>6</w:t>
      </w:r>
      <w:r>
        <w:rPr>
          <w:bCs/>
          <w:sz w:val="20"/>
          <w:szCs w:val="20"/>
        </w:rPr>
        <w:t>-e final</w:t>
      </w:r>
    </w:p>
    <w:sectPr w:rsidR="002A20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28C35E9"/>
    <w:multiLevelType w:val="multilevel"/>
    <w:tmpl w:val="128C35E9"/>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Symbol" w:hAnsi="Symbol"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4">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nsid w:val="5AC3475B"/>
    <w:multiLevelType w:val="multilevel"/>
    <w:tmpl w:val="5AC3475B"/>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nsid w:val="5E93823A"/>
    <w:multiLevelType w:val="singleLevel"/>
    <w:tmpl w:val="5E93823A"/>
    <w:lvl w:ilvl="0">
      <w:start w:val="1"/>
      <w:numFmt w:val="decimal"/>
      <w:suff w:val="space"/>
      <w:lvlText w:val="[%1]"/>
      <w:lvlJc w:val="left"/>
    </w:lvl>
  </w:abstractNum>
  <w:abstractNum w:abstractNumId="7">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2"/>
  </w:num>
  <w:num w:numId="5">
    <w:abstractNumId w:val="4"/>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proofState w:spelling="clean" w:grammar="clean"/>
  <w:defaultTabStop w:val="42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AB1"/>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9D6"/>
    <w:rsid w:val="00061D38"/>
    <w:rsid w:val="0006201D"/>
    <w:rsid w:val="000624B4"/>
    <w:rsid w:val="000627C2"/>
    <w:rsid w:val="00062AF2"/>
    <w:rsid w:val="00062D55"/>
    <w:rsid w:val="00062DBD"/>
    <w:rsid w:val="00062F51"/>
    <w:rsid w:val="0006302F"/>
    <w:rsid w:val="000631EB"/>
    <w:rsid w:val="0006377E"/>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0CA"/>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B00E0"/>
    <w:rsid w:val="000B0383"/>
    <w:rsid w:val="000B0395"/>
    <w:rsid w:val="000B126D"/>
    <w:rsid w:val="000B13E4"/>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CE0"/>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993"/>
    <w:rsid w:val="000D2AF0"/>
    <w:rsid w:val="000D2C0B"/>
    <w:rsid w:val="000D33FF"/>
    <w:rsid w:val="000D3518"/>
    <w:rsid w:val="000D390D"/>
    <w:rsid w:val="000D3C7C"/>
    <w:rsid w:val="000D3D1E"/>
    <w:rsid w:val="000D3F3F"/>
    <w:rsid w:val="000D463D"/>
    <w:rsid w:val="000D466F"/>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531"/>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002"/>
    <w:rsid w:val="000F374D"/>
    <w:rsid w:val="000F3AB4"/>
    <w:rsid w:val="000F43B9"/>
    <w:rsid w:val="000F4528"/>
    <w:rsid w:val="000F4551"/>
    <w:rsid w:val="000F48F4"/>
    <w:rsid w:val="000F4AE3"/>
    <w:rsid w:val="000F4E7F"/>
    <w:rsid w:val="000F4FBF"/>
    <w:rsid w:val="000F557C"/>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135"/>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27B99"/>
    <w:rsid w:val="00130E18"/>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D82"/>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5F34"/>
    <w:rsid w:val="00145F4C"/>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739"/>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373"/>
    <w:rsid w:val="00195611"/>
    <w:rsid w:val="001957FA"/>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127E"/>
    <w:rsid w:val="001C128D"/>
    <w:rsid w:val="001C14CC"/>
    <w:rsid w:val="001C16C8"/>
    <w:rsid w:val="001C172B"/>
    <w:rsid w:val="001C1ED7"/>
    <w:rsid w:val="001C22A8"/>
    <w:rsid w:val="001C2ECF"/>
    <w:rsid w:val="001C308C"/>
    <w:rsid w:val="001C3354"/>
    <w:rsid w:val="001C35F5"/>
    <w:rsid w:val="001C3942"/>
    <w:rsid w:val="001C3A1C"/>
    <w:rsid w:val="001C3A22"/>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E05"/>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617"/>
    <w:rsid w:val="001F670D"/>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1E3"/>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5F0"/>
    <w:rsid w:val="0021564B"/>
    <w:rsid w:val="002156BF"/>
    <w:rsid w:val="00215832"/>
    <w:rsid w:val="002159F8"/>
    <w:rsid w:val="00215A32"/>
    <w:rsid w:val="00216225"/>
    <w:rsid w:val="002162FD"/>
    <w:rsid w:val="00216939"/>
    <w:rsid w:val="00216C86"/>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CA4"/>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277"/>
    <w:rsid w:val="00247A5F"/>
    <w:rsid w:val="00247DF0"/>
    <w:rsid w:val="00250170"/>
    <w:rsid w:val="00250D2F"/>
    <w:rsid w:val="00250D7A"/>
    <w:rsid w:val="00250E6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860"/>
    <w:rsid w:val="0025490E"/>
    <w:rsid w:val="0025491D"/>
    <w:rsid w:val="00254B13"/>
    <w:rsid w:val="00254DA9"/>
    <w:rsid w:val="00255C39"/>
    <w:rsid w:val="00255D18"/>
    <w:rsid w:val="00256313"/>
    <w:rsid w:val="0025684A"/>
    <w:rsid w:val="00256B05"/>
    <w:rsid w:val="00256FEC"/>
    <w:rsid w:val="00257055"/>
    <w:rsid w:val="002575FB"/>
    <w:rsid w:val="00257EF7"/>
    <w:rsid w:val="00257F6E"/>
    <w:rsid w:val="00260094"/>
    <w:rsid w:val="00261211"/>
    <w:rsid w:val="002614C2"/>
    <w:rsid w:val="002615E2"/>
    <w:rsid w:val="00261698"/>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BEA"/>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38"/>
    <w:rsid w:val="00281283"/>
    <w:rsid w:val="00281355"/>
    <w:rsid w:val="00281756"/>
    <w:rsid w:val="002828EF"/>
    <w:rsid w:val="00282999"/>
    <w:rsid w:val="002829E5"/>
    <w:rsid w:val="00282A7C"/>
    <w:rsid w:val="00282AF5"/>
    <w:rsid w:val="0028307C"/>
    <w:rsid w:val="0028387F"/>
    <w:rsid w:val="002845C3"/>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A8"/>
    <w:rsid w:val="0029280F"/>
    <w:rsid w:val="002939E1"/>
    <w:rsid w:val="00293B7C"/>
    <w:rsid w:val="00293C1A"/>
    <w:rsid w:val="00293C3A"/>
    <w:rsid w:val="002949A6"/>
    <w:rsid w:val="00294DE8"/>
    <w:rsid w:val="00294FF0"/>
    <w:rsid w:val="002952AD"/>
    <w:rsid w:val="002953ED"/>
    <w:rsid w:val="00295580"/>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06A"/>
    <w:rsid w:val="002A21F8"/>
    <w:rsid w:val="002A2751"/>
    <w:rsid w:val="002A2D4E"/>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CE"/>
    <w:rsid w:val="002B490E"/>
    <w:rsid w:val="002B50F5"/>
    <w:rsid w:val="002B51D8"/>
    <w:rsid w:val="002B547E"/>
    <w:rsid w:val="002B58A5"/>
    <w:rsid w:val="002B59DB"/>
    <w:rsid w:val="002B5A01"/>
    <w:rsid w:val="002B5A58"/>
    <w:rsid w:val="002B5B0C"/>
    <w:rsid w:val="002B5B73"/>
    <w:rsid w:val="002B65EC"/>
    <w:rsid w:val="002B6609"/>
    <w:rsid w:val="002B6CD0"/>
    <w:rsid w:val="002B7178"/>
    <w:rsid w:val="002B725C"/>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3FCB"/>
    <w:rsid w:val="002D41EC"/>
    <w:rsid w:val="002D43B1"/>
    <w:rsid w:val="002D4B0B"/>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1B2"/>
    <w:rsid w:val="00303681"/>
    <w:rsid w:val="003037AD"/>
    <w:rsid w:val="00303C41"/>
    <w:rsid w:val="00304085"/>
    <w:rsid w:val="00304139"/>
    <w:rsid w:val="003041A3"/>
    <w:rsid w:val="0030430D"/>
    <w:rsid w:val="003045A7"/>
    <w:rsid w:val="003045F4"/>
    <w:rsid w:val="00304EFD"/>
    <w:rsid w:val="0030522A"/>
    <w:rsid w:val="003053A2"/>
    <w:rsid w:val="00305493"/>
    <w:rsid w:val="0030574F"/>
    <w:rsid w:val="00306202"/>
    <w:rsid w:val="0030634C"/>
    <w:rsid w:val="003067AB"/>
    <w:rsid w:val="00306A97"/>
    <w:rsid w:val="00306EC3"/>
    <w:rsid w:val="00307052"/>
    <w:rsid w:val="003076C3"/>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65"/>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CA9"/>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1A86"/>
    <w:rsid w:val="0039207D"/>
    <w:rsid w:val="00392626"/>
    <w:rsid w:val="0039269B"/>
    <w:rsid w:val="0039281A"/>
    <w:rsid w:val="00392A93"/>
    <w:rsid w:val="00392AD4"/>
    <w:rsid w:val="00393A89"/>
    <w:rsid w:val="00393ADA"/>
    <w:rsid w:val="00394630"/>
    <w:rsid w:val="003956BA"/>
    <w:rsid w:val="003959B5"/>
    <w:rsid w:val="00395C29"/>
    <w:rsid w:val="00395F54"/>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3D8"/>
    <w:rsid w:val="003D1D1B"/>
    <w:rsid w:val="003D1EB1"/>
    <w:rsid w:val="003D1EB3"/>
    <w:rsid w:val="003D21F8"/>
    <w:rsid w:val="003D29A5"/>
    <w:rsid w:val="003D2AE0"/>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E20"/>
    <w:rsid w:val="003D5FC7"/>
    <w:rsid w:val="003D6351"/>
    <w:rsid w:val="003D6A2A"/>
    <w:rsid w:val="003D6AE5"/>
    <w:rsid w:val="003D746D"/>
    <w:rsid w:val="003D7491"/>
    <w:rsid w:val="003D79F1"/>
    <w:rsid w:val="003D7A58"/>
    <w:rsid w:val="003D7E69"/>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763"/>
    <w:rsid w:val="00403BE4"/>
    <w:rsid w:val="00403F95"/>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CF2"/>
    <w:rsid w:val="00426E5E"/>
    <w:rsid w:val="004270F5"/>
    <w:rsid w:val="00427354"/>
    <w:rsid w:val="00427564"/>
    <w:rsid w:val="004277AA"/>
    <w:rsid w:val="00427A9A"/>
    <w:rsid w:val="00427FCB"/>
    <w:rsid w:val="00430152"/>
    <w:rsid w:val="00430862"/>
    <w:rsid w:val="00430D29"/>
    <w:rsid w:val="00430F4B"/>
    <w:rsid w:val="00431069"/>
    <w:rsid w:val="00431814"/>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744"/>
    <w:rsid w:val="00436A3C"/>
    <w:rsid w:val="00436BF9"/>
    <w:rsid w:val="00437190"/>
    <w:rsid w:val="004372FD"/>
    <w:rsid w:val="004379D5"/>
    <w:rsid w:val="00437A60"/>
    <w:rsid w:val="00437B42"/>
    <w:rsid w:val="00437BB1"/>
    <w:rsid w:val="00437D6F"/>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B94"/>
    <w:rsid w:val="00446BA5"/>
    <w:rsid w:val="00447571"/>
    <w:rsid w:val="00447803"/>
    <w:rsid w:val="00447BC1"/>
    <w:rsid w:val="00447CE3"/>
    <w:rsid w:val="00450129"/>
    <w:rsid w:val="00450246"/>
    <w:rsid w:val="004504A4"/>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20"/>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5C"/>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D86"/>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2FD2"/>
    <w:rsid w:val="004837D0"/>
    <w:rsid w:val="00483D35"/>
    <w:rsid w:val="004846B9"/>
    <w:rsid w:val="00484AEE"/>
    <w:rsid w:val="00484C9B"/>
    <w:rsid w:val="00484CC7"/>
    <w:rsid w:val="00484D88"/>
    <w:rsid w:val="004855B3"/>
    <w:rsid w:val="004858D9"/>
    <w:rsid w:val="00485F78"/>
    <w:rsid w:val="0048666C"/>
    <w:rsid w:val="0048668F"/>
    <w:rsid w:val="00486C8E"/>
    <w:rsid w:val="00486E1F"/>
    <w:rsid w:val="004870E9"/>
    <w:rsid w:val="004871A3"/>
    <w:rsid w:val="004871B4"/>
    <w:rsid w:val="00487224"/>
    <w:rsid w:val="004872B7"/>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DF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77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3A"/>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44A"/>
    <w:rsid w:val="005115D6"/>
    <w:rsid w:val="0051169B"/>
    <w:rsid w:val="005121A0"/>
    <w:rsid w:val="0051222A"/>
    <w:rsid w:val="00512375"/>
    <w:rsid w:val="0051243B"/>
    <w:rsid w:val="00512A70"/>
    <w:rsid w:val="00512AC1"/>
    <w:rsid w:val="00512D48"/>
    <w:rsid w:val="0051300E"/>
    <w:rsid w:val="00513413"/>
    <w:rsid w:val="00513537"/>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1900"/>
    <w:rsid w:val="00542076"/>
    <w:rsid w:val="0054254B"/>
    <w:rsid w:val="00542B7A"/>
    <w:rsid w:val="00543988"/>
    <w:rsid w:val="00543CD0"/>
    <w:rsid w:val="00544064"/>
    <w:rsid w:val="00544241"/>
    <w:rsid w:val="0054462D"/>
    <w:rsid w:val="00544CBC"/>
    <w:rsid w:val="0054563A"/>
    <w:rsid w:val="00545BF0"/>
    <w:rsid w:val="00545F5E"/>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01A"/>
    <w:rsid w:val="00556191"/>
    <w:rsid w:val="005563B1"/>
    <w:rsid w:val="0055683A"/>
    <w:rsid w:val="00556BFB"/>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91D"/>
    <w:rsid w:val="00574B39"/>
    <w:rsid w:val="00574EE7"/>
    <w:rsid w:val="00575196"/>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19D"/>
    <w:rsid w:val="005C2237"/>
    <w:rsid w:val="005C352A"/>
    <w:rsid w:val="005C3AF3"/>
    <w:rsid w:val="005C3B88"/>
    <w:rsid w:val="005C3DB7"/>
    <w:rsid w:val="005C3F7C"/>
    <w:rsid w:val="005C456E"/>
    <w:rsid w:val="005C47F7"/>
    <w:rsid w:val="005C4AAF"/>
    <w:rsid w:val="005C4AC1"/>
    <w:rsid w:val="005C5238"/>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008"/>
    <w:rsid w:val="005D4A73"/>
    <w:rsid w:val="005D4AD7"/>
    <w:rsid w:val="005D4D13"/>
    <w:rsid w:val="005D4FDA"/>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553"/>
    <w:rsid w:val="006079C7"/>
    <w:rsid w:val="00607A5C"/>
    <w:rsid w:val="00607A7B"/>
    <w:rsid w:val="00607B90"/>
    <w:rsid w:val="00607CA6"/>
    <w:rsid w:val="006104F5"/>
    <w:rsid w:val="0061097A"/>
    <w:rsid w:val="00610C31"/>
    <w:rsid w:val="00610DAF"/>
    <w:rsid w:val="00610F63"/>
    <w:rsid w:val="00610FAD"/>
    <w:rsid w:val="006111D7"/>
    <w:rsid w:val="00611317"/>
    <w:rsid w:val="0061143B"/>
    <w:rsid w:val="006119FF"/>
    <w:rsid w:val="00611B3A"/>
    <w:rsid w:val="00612150"/>
    <w:rsid w:val="00612400"/>
    <w:rsid w:val="0061256A"/>
    <w:rsid w:val="00612797"/>
    <w:rsid w:val="0061292D"/>
    <w:rsid w:val="00612E32"/>
    <w:rsid w:val="006133F7"/>
    <w:rsid w:val="00613536"/>
    <w:rsid w:val="00613578"/>
    <w:rsid w:val="00613939"/>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0B5"/>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9D8"/>
    <w:rsid w:val="00640D50"/>
    <w:rsid w:val="00640E5B"/>
    <w:rsid w:val="00641273"/>
    <w:rsid w:val="00641598"/>
    <w:rsid w:val="006422DD"/>
    <w:rsid w:val="00642AA3"/>
    <w:rsid w:val="00642E2E"/>
    <w:rsid w:val="00642F0B"/>
    <w:rsid w:val="0064346D"/>
    <w:rsid w:val="006436FC"/>
    <w:rsid w:val="00643B1E"/>
    <w:rsid w:val="00644219"/>
    <w:rsid w:val="00644285"/>
    <w:rsid w:val="006443BD"/>
    <w:rsid w:val="00644442"/>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1C11"/>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2D5D"/>
    <w:rsid w:val="006633E3"/>
    <w:rsid w:val="00663420"/>
    <w:rsid w:val="006637BF"/>
    <w:rsid w:val="00663852"/>
    <w:rsid w:val="006640E7"/>
    <w:rsid w:val="00664387"/>
    <w:rsid w:val="0066493B"/>
    <w:rsid w:val="0066499C"/>
    <w:rsid w:val="00664AAE"/>
    <w:rsid w:val="0066503C"/>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6BF"/>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5D4"/>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DC"/>
    <w:rsid w:val="00693237"/>
    <w:rsid w:val="00693462"/>
    <w:rsid w:val="006938E5"/>
    <w:rsid w:val="00694309"/>
    <w:rsid w:val="006947F0"/>
    <w:rsid w:val="00694AAD"/>
    <w:rsid w:val="00694B48"/>
    <w:rsid w:val="00694DC0"/>
    <w:rsid w:val="00694E0B"/>
    <w:rsid w:val="006950C2"/>
    <w:rsid w:val="00695528"/>
    <w:rsid w:val="00695833"/>
    <w:rsid w:val="00695F5F"/>
    <w:rsid w:val="0069605A"/>
    <w:rsid w:val="006965AF"/>
    <w:rsid w:val="006965B8"/>
    <w:rsid w:val="00696AEC"/>
    <w:rsid w:val="00696B1F"/>
    <w:rsid w:val="00696BA1"/>
    <w:rsid w:val="00697057"/>
    <w:rsid w:val="006971E7"/>
    <w:rsid w:val="006972A3"/>
    <w:rsid w:val="0069762A"/>
    <w:rsid w:val="00697907"/>
    <w:rsid w:val="00697A65"/>
    <w:rsid w:val="00697B8E"/>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3B0"/>
    <w:rsid w:val="006D670B"/>
    <w:rsid w:val="006D6CB3"/>
    <w:rsid w:val="006D706C"/>
    <w:rsid w:val="006D7A57"/>
    <w:rsid w:val="006D7C53"/>
    <w:rsid w:val="006D7CD0"/>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02A"/>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465"/>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54E"/>
    <w:rsid w:val="00715C99"/>
    <w:rsid w:val="00715CD6"/>
    <w:rsid w:val="00715EEF"/>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21ED"/>
    <w:rsid w:val="007225C3"/>
    <w:rsid w:val="00722E44"/>
    <w:rsid w:val="007233F5"/>
    <w:rsid w:val="00723A92"/>
    <w:rsid w:val="00723CFD"/>
    <w:rsid w:val="00723FFF"/>
    <w:rsid w:val="00724362"/>
    <w:rsid w:val="007248DC"/>
    <w:rsid w:val="00724C08"/>
    <w:rsid w:val="00724DF9"/>
    <w:rsid w:val="00724EE3"/>
    <w:rsid w:val="00724F0D"/>
    <w:rsid w:val="00724F35"/>
    <w:rsid w:val="007256A0"/>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585"/>
    <w:rsid w:val="007318D2"/>
    <w:rsid w:val="007319EA"/>
    <w:rsid w:val="00731A85"/>
    <w:rsid w:val="00731D6D"/>
    <w:rsid w:val="00731F70"/>
    <w:rsid w:val="00731FE3"/>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23"/>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ED0"/>
    <w:rsid w:val="00747FF7"/>
    <w:rsid w:val="007505F6"/>
    <w:rsid w:val="007506BC"/>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7001C"/>
    <w:rsid w:val="007704B1"/>
    <w:rsid w:val="007706CA"/>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48E1"/>
    <w:rsid w:val="00785293"/>
    <w:rsid w:val="00785482"/>
    <w:rsid w:val="00785E39"/>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749"/>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DB"/>
    <w:rsid w:val="007A0CE3"/>
    <w:rsid w:val="007A0E12"/>
    <w:rsid w:val="007A0E13"/>
    <w:rsid w:val="007A1017"/>
    <w:rsid w:val="007A1A14"/>
    <w:rsid w:val="007A1D4C"/>
    <w:rsid w:val="007A20B6"/>
    <w:rsid w:val="007A2C2C"/>
    <w:rsid w:val="007A2EC8"/>
    <w:rsid w:val="007A320A"/>
    <w:rsid w:val="007A34DF"/>
    <w:rsid w:val="007A3593"/>
    <w:rsid w:val="007A3614"/>
    <w:rsid w:val="007A3DA8"/>
    <w:rsid w:val="007A3DDA"/>
    <w:rsid w:val="007A3E61"/>
    <w:rsid w:val="007A4FBD"/>
    <w:rsid w:val="007A5AF9"/>
    <w:rsid w:val="007A5B58"/>
    <w:rsid w:val="007A5D63"/>
    <w:rsid w:val="007A622F"/>
    <w:rsid w:val="007A6831"/>
    <w:rsid w:val="007A6AC3"/>
    <w:rsid w:val="007A6C5F"/>
    <w:rsid w:val="007A7019"/>
    <w:rsid w:val="007A7481"/>
    <w:rsid w:val="007A748D"/>
    <w:rsid w:val="007A757E"/>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D64"/>
    <w:rsid w:val="007B2F65"/>
    <w:rsid w:val="007B2FCD"/>
    <w:rsid w:val="007B31A3"/>
    <w:rsid w:val="007B4168"/>
    <w:rsid w:val="007B4402"/>
    <w:rsid w:val="007B4529"/>
    <w:rsid w:val="007B4632"/>
    <w:rsid w:val="007B4779"/>
    <w:rsid w:val="007B5075"/>
    <w:rsid w:val="007B528D"/>
    <w:rsid w:val="007B5390"/>
    <w:rsid w:val="007B546F"/>
    <w:rsid w:val="007B5810"/>
    <w:rsid w:val="007B5CB3"/>
    <w:rsid w:val="007B68FD"/>
    <w:rsid w:val="007B6BA6"/>
    <w:rsid w:val="007B6F00"/>
    <w:rsid w:val="007B6FA2"/>
    <w:rsid w:val="007B7680"/>
    <w:rsid w:val="007B787C"/>
    <w:rsid w:val="007B795B"/>
    <w:rsid w:val="007C0937"/>
    <w:rsid w:val="007C138B"/>
    <w:rsid w:val="007C13A4"/>
    <w:rsid w:val="007C1746"/>
    <w:rsid w:val="007C1CB6"/>
    <w:rsid w:val="007C1E26"/>
    <w:rsid w:val="007C1E40"/>
    <w:rsid w:val="007C1F30"/>
    <w:rsid w:val="007C20A0"/>
    <w:rsid w:val="007C21BC"/>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D45"/>
    <w:rsid w:val="00820E5E"/>
    <w:rsid w:val="00821173"/>
    <w:rsid w:val="00821BA4"/>
    <w:rsid w:val="00822086"/>
    <w:rsid w:val="0082241F"/>
    <w:rsid w:val="008225B6"/>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2CB"/>
    <w:rsid w:val="008474D3"/>
    <w:rsid w:val="00847567"/>
    <w:rsid w:val="00847832"/>
    <w:rsid w:val="00847A1F"/>
    <w:rsid w:val="00850014"/>
    <w:rsid w:val="00850474"/>
    <w:rsid w:val="00850641"/>
    <w:rsid w:val="00850B20"/>
    <w:rsid w:val="00851246"/>
    <w:rsid w:val="00851348"/>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690"/>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F18"/>
    <w:rsid w:val="00874F8B"/>
    <w:rsid w:val="008750F3"/>
    <w:rsid w:val="00875538"/>
    <w:rsid w:val="00875B1B"/>
    <w:rsid w:val="00875D1B"/>
    <w:rsid w:val="00875F3F"/>
    <w:rsid w:val="0087622F"/>
    <w:rsid w:val="0087624A"/>
    <w:rsid w:val="008762AE"/>
    <w:rsid w:val="0087630D"/>
    <w:rsid w:val="008765A0"/>
    <w:rsid w:val="00876929"/>
    <w:rsid w:val="00876D6A"/>
    <w:rsid w:val="00876EEE"/>
    <w:rsid w:val="00877201"/>
    <w:rsid w:val="00877799"/>
    <w:rsid w:val="00877AD9"/>
    <w:rsid w:val="00877D90"/>
    <w:rsid w:val="00877F00"/>
    <w:rsid w:val="0088030A"/>
    <w:rsid w:val="00880566"/>
    <w:rsid w:val="00880748"/>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C7"/>
    <w:rsid w:val="00890E84"/>
    <w:rsid w:val="008917BD"/>
    <w:rsid w:val="00891A49"/>
    <w:rsid w:val="00891E34"/>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2B9"/>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C8C"/>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21AA"/>
    <w:rsid w:val="00942C74"/>
    <w:rsid w:val="00943011"/>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E9"/>
    <w:rsid w:val="009645F3"/>
    <w:rsid w:val="009648E1"/>
    <w:rsid w:val="00964C3B"/>
    <w:rsid w:val="00964EAC"/>
    <w:rsid w:val="00964F7B"/>
    <w:rsid w:val="009650A4"/>
    <w:rsid w:val="00965238"/>
    <w:rsid w:val="009655B1"/>
    <w:rsid w:val="00965F6F"/>
    <w:rsid w:val="009660A3"/>
    <w:rsid w:val="00966112"/>
    <w:rsid w:val="009664C8"/>
    <w:rsid w:val="00966F43"/>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1BA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4FC0"/>
    <w:rsid w:val="009853AC"/>
    <w:rsid w:val="00985670"/>
    <w:rsid w:val="0098616D"/>
    <w:rsid w:val="00986546"/>
    <w:rsid w:val="00986B44"/>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573"/>
    <w:rsid w:val="009967B8"/>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65"/>
    <w:rsid w:val="009A2AC0"/>
    <w:rsid w:val="009A314E"/>
    <w:rsid w:val="009A3182"/>
    <w:rsid w:val="009A3285"/>
    <w:rsid w:val="009A35A7"/>
    <w:rsid w:val="009A362F"/>
    <w:rsid w:val="009A3BEB"/>
    <w:rsid w:val="009A3C5E"/>
    <w:rsid w:val="009A3C6C"/>
    <w:rsid w:val="009A3E4E"/>
    <w:rsid w:val="009A3FBC"/>
    <w:rsid w:val="009A41F0"/>
    <w:rsid w:val="009A4419"/>
    <w:rsid w:val="009A4AF8"/>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F55"/>
    <w:rsid w:val="009B2058"/>
    <w:rsid w:val="009B21FF"/>
    <w:rsid w:val="009B23D9"/>
    <w:rsid w:val="009B2795"/>
    <w:rsid w:val="009B2CB4"/>
    <w:rsid w:val="009B3A2C"/>
    <w:rsid w:val="009B3B4D"/>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E15"/>
    <w:rsid w:val="009D0F82"/>
    <w:rsid w:val="009D1933"/>
    <w:rsid w:val="009D1D53"/>
    <w:rsid w:val="009D2325"/>
    <w:rsid w:val="009D253D"/>
    <w:rsid w:val="009D2DC5"/>
    <w:rsid w:val="009D3040"/>
    <w:rsid w:val="009D3942"/>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2A8"/>
    <w:rsid w:val="00A374FA"/>
    <w:rsid w:val="00A3750E"/>
    <w:rsid w:val="00A37A57"/>
    <w:rsid w:val="00A37B05"/>
    <w:rsid w:val="00A37CD9"/>
    <w:rsid w:val="00A37F03"/>
    <w:rsid w:val="00A40077"/>
    <w:rsid w:val="00A4042F"/>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C79"/>
    <w:rsid w:val="00A60D19"/>
    <w:rsid w:val="00A61101"/>
    <w:rsid w:val="00A611E6"/>
    <w:rsid w:val="00A613DB"/>
    <w:rsid w:val="00A614A9"/>
    <w:rsid w:val="00A61838"/>
    <w:rsid w:val="00A618E3"/>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99E"/>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849"/>
    <w:rsid w:val="00A87981"/>
    <w:rsid w:val="00A87D2F"/>
    <w:rsid w:val="00A87E00"/>
    <w:rsid w:val="00A87F33"/>
    <w:rsid w:val="00A90041"/>
    <w:rsid w:val="00A903D7"/>
    <w:rsid w:val="00A90646"/>
    <w:rsid w:val="00A9076A"/>
    <w:rsid w:val="00A907A5"/>
    <w:rsid w:val="00A907EC"/>
    <w:rsid w:val="00A90AFF"/>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818"/>
    <w:rsid w:val="00A97BC7"/>
    <w:rsid w:val="00A97C59"/>
    <w:rsid w:val="00A97EA0"/>
    <w:rsid w:val="00A97EA8"/>
    <w:rsid w:val="00AA07C2"/>
    <w:rsid w:val="00AA080F"/>
    <w:rsid w:val="00AA0A6B"/>
    <w:rsid w:val="00AA0B97"/>
    <w:rsid w:val="00AA1214"/>
    <w:rsid w:val="00AA1352"/>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208"/>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A9A"/>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85C"/>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4E6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9A7"/>
    <w:rsid w:val="00AF3313"/>
    <w:rsid w:val="00AF34B8"/>
    <w:rsid w:val="00AF3DB9"/>
    <w:rsid w:val="00AF3F7B"/>
    <w:rsid w:val="00AF4322"/>
    <w:rsid w:val="00AF49A6"/>
    <w:rsid w:val="00AF4D9B"/>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D5C"/>
    <w:rsid w:val="00B20FDF"/>
    <w:rsid w:val="00B21402"/>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CE"/>
    <w:rsid w:val="00B366FB"/>
    <w:rsid w:val="00B3686D"/>
    <w:rsid w:val="00B36C41"/>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363"/>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B02"/>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0E1"/>
    <w:rsid w:val="00B86378"/>
    <w:rsid w:val="00B86550"/>
    <w:rsid w:val="00B865EB"/>
    <w:rsid w:val="00B8671F"/>
    <w:rsid w:val="00B869A8"/>
    <w:rsid w:val="00B86B65"/>
    <w:rsid w:val="00B86D53"/>
    <w:rsid w:val="00B872A0"/>
    <w:rsid w:val="00B877B8"/>
    <w:rsid w:val="00B87BCB"/>
    <w:rsid w:val="00B87DE3"/>
    <w:rsid w:val="00B9003C"/>
    <w:rsid w:val="00B90545"/>
    <w:rsid w:val="00B911E2"/>
    <w:rsid w:val="00B917C9"/>
    <w:rsid w:val="00B9206F"/>
    <w:rsid w:val="00B920F3"/>
    <w:rsid w:val="00B92918"/>
    <w:rsid w:val="00B92D46"/>
    <w:rsid w:val="00B92E71"/>
    <w:rsid w:val="00B93225"/>
    <w:rsid w:val="00B93AB0"/>
    <w:rsid w:val="00B93D19"/>
    <w:rsid w:val="00B94140"/>
    <w:rsid w:val="00B941C0"/>
    <w:rsid w:val="00B9426F"/>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368"/>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D18"/>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9B0"/>
    <w:rsid w:val="00BE36E1"/>
    <w:rsid w:val="00BE377E"/>
    <w:rsid w:val="00BE3EF2"/>
    <w:rsid w:val="00BE41D9"/>
    <w:rsid w:val="00BE41DE"/>
    <w:rsid w:val="00BE43C0"/>
    <w:rsid w:val="00BE44F3"/>
    <w:rsid w:val="00BE4543"/>
    <w:rsid w:val="00BE4A8B"/>
    <w:rsid w:val="00BE4B7E"/>
    <w:rsid w:val="00BE4C08"/>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69D1"/>
    <w:rsid w:val="00BF6D60"/>
    <w:rsid w:val="00BF6ED3"/>
    <w:rsid w:val="00BF70B9"/>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B62"/>
    <w:rsid w:val="00C03759"/>
    <w:rsid w:val="00C0382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EA1"/>
    <w:rsid w:val="00C1102F"/>
    <w:rsid w:val="00C110C3"/>
    <w:rsid w:val="00C115D4"/>
    <w:rsid w:val="00C11607"/>
    <w:rsid w:val="00C11D3C"/>
    <w:rsid w:val="00C11E14"/>
    <w:rsid w:val="00C11FB8"/>
    <w:rsid w:val="00C12210"/>
    <w:rsid w:val="00C12DC1"/>
    <w:rsid w:val="00C13134"/>
    <w:rsid w:val="00C13EB0"/>
    <w:rsid w:val="00C145BA"/>
    <w:rsid w:val="00C14F0C"/>
    <w:rsid w:val="00C15023"/>
    <w:rsid w:val="00C152AA"/>
    <w:rsid w:val="00C1531C"/>
    <w:rsid w:val="00C1542D"/>
    <w:rsid w:val="00C157C9"/>
    <w:rsid w:val="00C15964"/>
    <w:rsid w:val="00C15C21"/>
    <w:rsid w:val="00C15F01"/>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0E5E"/>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3F12"/>
    <w:rsid w:val="00C24116"/>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2D3"/>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A63"/>
    <w:rsid w:val="00C54CE2"/>
    <w:rsid w:val="00C54E9E"/>
    <w:rsid w:val="00C54EA0"/>
    <w:rsid w:val="00C55272"/>
    <w:rsid w:val="00C554BD"/>
    <w:rsid w:val="00C55647"/>
    <w:rsid w:val="00C5573A"/>
    <w:rsid w:val="00C558C9"/>
    <w:rsid w:val="00C562E1"/>
    <w:rsid w:val="00C5644D"/>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498"/>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053E"/>
    <w:rsid w:val="00C912E9"/>
    <w:rsid w:val="00C91769"/>
    <w:rsid w:val="00C919B9"/>
    <w:rsid w:val="00C92271"/>
    <w:rsid w:val="00C9230C"/>
    <w:rsid w:val="00C929C8"/>
    <w:rsid w:val="00C9406A"/>
    <w:rsid w:val="00C9406E"/>
    <w:rsid w:val="00C9436B"/>
    <w:rsid w:val="00C947DC"/>
    <w:rsid w:val="00C94A08"/>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0D0"/>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16"/>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3FD"/>
    <w:rsid w:val="00CE3686"/>
    <w:rsid w:val="00CE3EFA"/>
    <w:rsid w:val="00CE4518"/>
    <w:rsid w:val="00CE4779"/>
    <w:rsid w:val="00CE59FA"/>
    <w:rsid w:val="00CE5DC8"/>
    <w:rsid w:val="00CE60E7"/>
    <w:rsid w:val="00CE6330"/>
    <w:rsid w:val="00CE64AB"/>
    <w:rsid w:val="00CE6623"/>
    <w:rsid w:val="00CE6744"/>
    <w:rsid w:val="00CE686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9BC"/>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420"/>
    <w:rsid w:val="00D2487E"/>
    <w:rsid w:val="00D24988"/>
    <w:rsid w:val="00D24B65"/>
    <w:rsid w:val="00D24D7B"/>
    <w:rsid w:val="00D252ED"/>
    <w:rsid w:val="00D2588B"/>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7C7"/>
    <w:rsid w:val="00D3180D"/>
    <w:rsid w:val="00D3205F"/>
    <w:rsid w:val="00D3257F"/>
    <w:rsid w:val="00D32862"/>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5C6D"/>
    <w:rsid w:val="00D66395"/>
    <w:rsid w:val="00D66480"/>
    <w:rsid w:val="00D669D8"/>
    <w:rsid w:val="00D66CB7"/>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3236"/>
    <w:rsid w:val="00D736ED"/>
    <w:rsid w:val="00D73829"/>
    <w:rsid w:val="00D73885"/>
    <w:rsid w:val="00D73A1F"/>
    <w:rsid w:val="00D73E16"/>
    <w:rsid w:val="00D74437"/>
    <w:rsid w:val="00D748BF"/>
    <w:rsid w:val="00D74F1B"/>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6F4"/>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62"/>
    <w:rsid w:val="00D9431A"/>
    <w:rsid w:val="00D9435D"/>
    <w:rsid w:val="00D9483C"/>
    <w:rsid w:val="00D94877"/>
    <w:rsid w:val="00D95037"/>
    <w:rsid w:val="00D95419"/>
    <w:rsid w:val="00D954D5"/>
    <w:rsid w:val="00D957C8"/>
    <w:rsid w:val="00D957FA"/>
    <w:rsid w:val="00D95BFA"/>
    <w:rsid w:val="00D95C43"/>
    <w:rsid w:val="00D95E7E"/>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A7EDC"/>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B7B25"/>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73C"/>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2A2"/>
    <w:rsid w:val="00E02773"/>
    <w:rsid w:val="00E02AF6"/>
    <w:rsid w:val="00E02AFD"/>
    <w:rsid w:val="00E0370C"/>
    <w:rsid w:val="00E0392B"/>
    <w:rsid w:val="00E03CA1"/>
    <w:rsid w:val="00E03E45"/>
    <w:rsid w:val="00E03F50"/>
    <w:rsid w:val="00E0406D"/>
    <w:rsid w:val="00E0431F"/>
    <w:rsid w:val="00E045F7"/>
    <w:rsid w:val="00E04801"/>
    <w:rsid w:val="00E04E06"/>
    <w:rsid w:val="00E051FA"/>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090"/>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6D91"/>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428"/>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B7E"/>
    <w:rsid w:val="00E60D46"/>
    <w:rsid w:val="00E60DAC"/>
    <w:rsid w:val="00E60EFA"/>
    <w:rsid w:val="00E61097"/>
    <w:rsid w:val="00E61291"/>
    <w:rsid w:val="00E618CC"/>
    <w:rsid w:val="00E6196F"/>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27"/>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0D4"/>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25"/>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4EAC"/>
    <w:rsid w:val="00E95827"/>
    <w:rsid w:val="00E958DB"/>
    <w:rsid w:val="00E95EB4"/>
    <w:rsid w:val="00E95EF9"/>
    <w:rsid w:val="00E9616D"/>
    <w:rsid w:val="00E96518"/>
    <w:rsid w:val="00E96809"/>
    <w:rsid w:val="00E9681F"/>
    <w:rsid w:val="00E968F7"/>
    <w:rsid w:val="00E96E4B"/>
    <w:rsid w:val="00E97477"/>
    <w:rsid w:val="00E97A55"/>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83C"/>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B0BD6"/>
    <w:rsid w:val="00EB0C09"/>
    <w:rsid w:val="00EB0C0C"/>
    <w:rsid w:val="00EB147A"/>
    <w:rsid w:val="00EB2CE1"/>
    <w:rsid w:val="00EB311E"/>
    <w:rsid w:val="00EB32E0"/>
    <w:rsid w:val="00EB349C"/>
    <w:rsid w:val="00EB39D3"/>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30"/>
    <w:rsid w:val="00EC2555"/>
    <w:rsid w:val="00EC2CF8"/>
    <w:rsid w:val="00EC2D1B"/>
    <w:rsid w:val="00EC34D6"/>
    <w:rsid w:val="00EC404E"/>
    <w:rsid w:val="00EC5191"/>
    <w:rsid w:val="00EC51B5"/>
    <w:rsid w:val="00EC51FD"/>
    <w:rsid w:val="00EC546B"/>
    <w:rsid w:val="00EC5FDC"/>
    <w:rsid w:val="00EC6055"/>
    <w:rsid w:val="00EC613F"/>
    <w:rsid w:val="00EC6511"/>
    <w:rsid w:val="00EC65EB"/>
    <w:rsid w:val="00EC6E9E"/>
    <w:rsid w:val="00EC6EB4"/>
    <w:rsid w:val="00EC70DE"/>
    <w:rsid w:val="00EC7349"/>
    <w:rsid w:val="00ED022E"/>
    <w:rsid w:val="00ED0712"/>
    <w:rsid w:val="00ED0773"/>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244D"/>
    <w:rsid w:val="00F524D5"/>
    <w:rsid w:val="00F52BED"/>
    <w:rsid w:val="00F537D5"/>
    <w:rsid w:val="00F53C50"/>
    <w:rsid w:val="00F53EC2"/>
    <w:rsid w:val="00F541E4"/>
    <w:rsid w:val="00F54675"/>
    <w:rsid w:val="00F54810"/>
    <w:rsid w:val="00F54C34"/>
    <w:rsid w:val="00F54CEB"/>
    <w:rsid w:val="00F54E6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6FE7"/>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216"/>
    <w:rsid w:val="00F74753"/>
    <w:rsid w:val="00F74768"/>
    <w:rsid w:val="00F74A0D"/>
    <w:rsid w:val="00F74A8B"/>
    <w:rsid w:val="00F754E7"/>
    <w:rsid w:val="00F758B4"/>
    <w:rsid w:val="00F759F2"/>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55AF"/>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52"/>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56E"/>
    <w:rsid w:val="00FC3885"/>
    <w:rsid w:val="00FC3BEF"/>
    <w:rsid w:val="00FC3D43"/>
    <w:rsid w:val="00FC3DAE"/>
    <w:rsid w:val="00FC4B84"/>
    <w:rsid w:val="00FC4DC7"/>
    <w:rsid w:val="00FC57FC"/>
    <w:rsid w:val="00FC59B4"/>
    <w:rsid w:val="00FC5FEF"/>
    <w:rsid w:val="00FC6050"/>
    <w:rsid w:val="00FC612F"/>
    <w:rsid w:val="00FC62F0"/>
    <w:rsid w:val="00FC64D5"/>
    <w:rsid w:val="00FC67ED"/>
    <w:rsid w:val="00FC68E1"/>
    <w:rsid w:val="00FC6B25"/>
    <w:rsid w:val="00FC6CB7"/>
    <w:rsid w:val="00FC76EB"/>
    <w:rsid w:val="00FC77CB"/>
    <w:rsid w:val="00FC7810"/>
    <w:rsid w:val="00FC7982"/>
    <w:rsid w:val="00FC7AA0"/>
    <w:rsid w:val="00FC7B75"/>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C77"/>
    <w:rsid w:val="00FD6104"/>
    <w:rsid w:val="00FD6540"/>
    <w:rsid w:val="00FD6C64"/>
    <w:rsid w:val="00FD75BE"/>
    <w:rsid w:val="00FD7683"/>
    <w:rsid w:val="00FD76F5"/>
    <w:rsid w:val="00FD7E71"/>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6847E7"/>
    <w:rsid w:val="018F1416"/>
    <w:rsid w:val="01AB094A"/>
    <w:rsid w:val="01AE21DC"/>
    <w:rsid w:val="01B306E4"/>
    <w:rsid w:val="01D27A5F"/>
    <w:rsid w:val="02004B2C"/>
    <w:rsid w:val="0201766A"/>
    <w:rsid w:val="02151F95"/>
    <w:rsid w:val="022A4AA1"/>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9406C4"/>
    <w:rsid w:val="04B345F7"/>
    <w:rsid w:val="04BE7DD0"/>
    <w:rsid w:val="04CD0148"/>
    <w:rsid w:val="04EB3650"/>
    <w:rsid w:val="050D0125"/>
    <w:rsid w:val="054445DB"/>
    <w:rsid w:val="055A06C9"/>
    <w:rsid w:val="05644CA9"/>
    <w:rsid w:val="056B33A0"/>
    <w:rsid w:val="05702DF2"/>
    <w:rsid w:val="05733EFD"/>
    <w:rsid w:val="058A745F"/>
    <w:rsid w:val="058D2653"/>
    <w:rsid w:val="05930449"/>
    <w:rsid w:val="05A11E98"/>
    <w:rsid w:val="05B56F8C"/>
    <w:rsid w:val="05EA3121"/>
    <w:rsid w:val="05EB37CA"/>
    <w:rsid w:val="05EF39F0"/>
    <w:rsid w:val="06073C3A"/>
    <w:rsid w:val="06093003"/>
    <w:rsid w:val="060D79A1"/>
    <w:rsid w:val="060E00E0"/>
    <w:rsid w:val="06197729"/>
    <w:rsid w:val="06257099"/>
    <w:rsid w:val="064244D9"/>
    <w:rsid w:val="067751BD"/>
    <w:rsid w:val="06C62058"/>
    <w:rsid w:val="06CF7159"/>
    <w:rsid w:val="06D32D7E"/>
    <w:rsid w:val="06E21138"/>
    <w:rsid w:val="06E64C63"/>
    <w:rsid w:val="06F24EF2"/>
    <w:rsid w:val="07470651"/>
    <w:rsid w:val="075815C4"/>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D50DF"/>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23EB5"/>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BE32529"/>
    <w:rsid w:val="0C195365"/>
    <w:rsid w:val="0C1A6BD3"/>
    <w:rsid w:val="0C1D70C9"/>
    <w:rsid w:val="0C6F4E58"/>
    <w:rsid w:val="0C76751C"/>
    <w:rsid w:val="0CFB1DB9"/>
    <w:rsid w:val="0D103D70"/>
    <w:rsid w:val="0D220294"/>
    <w:rsid w:val="0D283356"/>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3078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5F040B"/>
    <w:rsid w:val="107A5169"/>
    <w:rsid w:val="107B4EBF"/>
    <w:rsid w:val="107C4D2C"/>
    <w:rsid w:val="10881C30"/>
    <w:rsid w:val="108A6F8A"/>
    <w:rsid w:val="10A32DF1"/>
    <w:rsid w:val="10A45B57"/>
    <w:rsid w:val="10A50D79"/>
    <w:rsid w:val="10AB24DF"/>
    <w:rsid w:val="10D653BA"/>
    <w:rsid w:val="10DB6356"/>
    <w:rsid w:val="10EF5ED1"/>
    <w:rsid w:val="112A5200"/>
    <w:rsid w:val="112B7604"/>
    <w:rsid w:val="11306888"/>
    <w:rsid w:val="1168799E"/>
    <w:rsid w:val="118B5FDD"/>
    <w:rsid w:val="11A64DBC"/>
    <w:rsid w:val="11AF324A"/>
    <w:rsid w:val="11B814E6"/>
    <w:rsid w:val="1228310E"/>
    <w:rsid w:val="12325B1D"/>
    <w:rsid w:val="1244691E"/>
    <w:rsid w:val="1251591B"/>
    <w:rsid w:val="12610602"/>
    <w:rsid w:val="126B461E"/>
    <w:rsid w:val="127D72F2"/>
    <w:rsid w:val="12A908D3"/>
    <w:rsid w:val="12AA7F02"/>
    <w:rsid w:val="12B47253"/>
    <w:rsid w:val="12DE33CA"/>
    <w:rsid w:val="12F820F1"/>
    <w:rsid w:val="12FF52DE"/>
    <w:rsid w:val="13063F94"/>
    <w:rsid w:val="13344C16"/>
    <w:rsid w:val="1343505A"/>
    <w:rsid w:val="13544A6B"/>
    <w:rsid w:val="135C3AB9"/>
    <w:rsid w:val="136B08B3"/>
    <w:rsid w:val="137A40BD"/>
    <w:rsid w:val="13910B1E"/>
    <w:rsid w:val="13B563DA"/>
    <w:rsid w:val="13BD31AB"/>
    <w:rsid w:val="13CD27B6"/>
    <w:rsid w:val="13E532CA"/>
    <w:rsid w:val="13ED0B0B"/>
    <w:rsid w:val="13ED7D7F"/>
    <w:rsid w:val="13F96221"/>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7787F"/>
    <w:rsid w:val="14F44F2E"/>
    <w:rsid w:val="150C4C28"/>
    <w:rsid w:val="15416178"/>
    <w:rsid w:val="1561603B"/>
    <w:rsid w:val="15690DB0"/>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76EF"/>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C6C7D"/>
    <w:rsid w:val="18960812"/>
    <w:rsid w:val="189C7EF6"/>
    <w:rsid w:val="18B04B4D"/>
    <w:rsid w:val="18C5316D"/>
    <w:rsid w:val="18D50D8C"/>
    <w:rsid w:val="18E87E12"/>
    <w:rsid w:val="18F5052C"/>
    <w:rsid w:val="191D14D9"/>
    <w:rsid w:val="19693EEF"/>
    <w:rsid w:val="196B5F41"/>
    <w:rsid w:val="197E5EE9"/>
    <w:rsid w:val="19D1732F"/>
    <w:rsid w:val="19F92180"/>
    <w:rsid w:val="1A001213"/>
    <w:rsid w:val="1A0D4248"/>
    <w:rsid w:val="1A200A74"/>
    <w:rsid w:val="1A2F2398"/>
    <w:rsid w:val="1A3055B8"/>
    <w:rsid w:val="1A5655AF"/>
    <w:rsid w:val="1A6B5CD7"/>
    <w:rsid w:val="1A790B83"/>
    <w:rsid w:val="1A9B675D"/>
    <w:rsid w:val="1AD153DF"/>
    <w:rsid w:val="1ADE3E70"/>
    <w:rsid w:val="1AE032B7"/>
    <w:rsid w:val="1AE42348"/>
    <w:rsid w:val="1AE5004C"/>
    <w:rsid w:val="1AF2383D"/>
    <w:rsid w:val="1B157C1A"/>
    <w:rsid w:val="1B1A6E4B"/>
    <w:rsid w:val="1B211C8A"/>
    <w:rsid w:val="1B325062"/>
    <w:rsid w:val="1B572C7F"/>
    <w:rsid w:val="1B5734B2"/>
    <w:rsid w:val="1B7D36A6"/>
    <w:rsid w:val="1B99173F"/>
    <w:rsid w:val="1B9E5782"/>
    <w:rsid w:val="1B9F2F5B"/>
    <w:rsid w:val="1BA31D38"/>
    <w:rsid w:val="1BB15A38"/>
    <w:rsid w:val="1BB32D92"/>
    <w:rsid w:val="1BCA4E13"/>
    <w:rsid w:val="1BCF578F"/>
    <w:rsid w:val="1BD93E58"/>
    <w:rsid w:val="1BE75134"/>
    <w:rsid w:val="1BEB39AC"/>
    <w:rsid w:val="1C3C5A93"/>
    <w:rsid w:val="1C3D2E04"/>
    <w:rsid w:val="1C3D5C01"/>
    <w:rsid w:val="1C4852DE"/>
    <w:rsid w:val="1C4D45E0"/>
    <w:rsid w:val="1CB701AA"/>
    <w:rsid w:val="1CCA0F66"/>
    <w:rsid w:val="1CDE446D"/>
    <w:rsid w:val="1CE20210"/>
    <w:rsid w:val="1D26771C"/>
    <w:rsid w:val="1D464FEE"/>
    <w:rsid w:val="1D644902"/>
    <w:rsid w:val="1D6B1D16"/>
    <w:rsid w:val="1D8C2BA2"/>
    <w:rsid w:val="1D905228"/>
    <w:rsid w:val="1DAB0536"/>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A07FA"/>
    <w:rsid w:val="1EF23920"/>
    <w:rsid w:val="1F234826"/>
    <w:rsid w:val="1F4773C4"/>
    <w:rsid w:val="1F517BAC"/>
    <w:rsid w:val="1F5E0D38"/>
    <w:rsid w:val="1F5F4414"/>
    <w:rsid w:val="1F826970"/>
    <w:rsid w:val="1F972A67"/>
    <w:rsid w:val="1FA317AB"/>
    <w:rsid w:val="1FA415FD"/>
    <w:rsid w:val="1FA60478"/>
    <w:rsid w:val="1FBD194C"/>
    <w:rsid w:val="1FCB673D"/>
    <w:rsid w:val="1FEE648E"/>
    <w:rsid w:val="1FF433BA"/>
    <w:rsid w:val="1FF9202F"/>
    <w:rsid w:val="20003026"/>
    <w:rsid w:val="200F3B23"/>
    <w:rsid w:val="201967D7"/>
    <w:rsid w:val="20374786"/>
    <w:rsid w:val="2039386F"/>
    <w:rsid w:val="20601C10"/>
    <w:rsid w:val="20757C7B"/>
    <w:rsid w:val="208568CE"/>
    <w:rsid w:val="20A13861"/>
    <w:rsid w:val="20BB0C31"/>
    <w:rsid w:val="20CF37FC"/>
    <w:rsid w:val="20D717F3"/>
    <w:rsid w:val="20F12135"/>
    <w:rsid w:val="20F90AAC"/>
    <w:rsid w:val="20FA405B"/>
    <w:rsid w:val="212B616E"/>
    <w:rsid w:val="213121BA"/>
    <w:rsid w:val="214A2960"/>
    <w:rsid w:val="215302B9"/>
    <w:rsid w:val="215670DE"/>
    <w:rsid w:val="218E4A09"/>
    <w:rsid w:val="218E6399"/>
    <w:rsid w:val="219C6DDD"/>
    <w:rsid w:val="21DF3292"/>
    <w:rsid w:val="22111157"/>
    <w:rsid w:val="2229623B"/>
    <w:rsid w:val="22477192"/>
    <w:rsid w:val="224C2951"/>
    <w:rsid w:val="227A54E3"/>
    <w:rsid w:val="22865CFC"/>
    <w:rsid w:val="22BD3256"/>
    <w:rsid w:val="22D07449"/>
    <w:rsid w:val="230B248C"/>
    <w:rsid w:val="231847B8"/>
    <w:rsid w:val="231E3ED2"/>
    <w:rsid w:val="234421C7"/>
    <w:rsid w:val="23537C14"/>
    <w:rsid w:val="23700EEA"/>
    <w:rsid w:val="238C42D2"/>
    <w:rsid w:val="2393048F"/>
    <w:rsid w:val="239E3C8F"/>
    <w:rsid w:val="23A06B4E"/>
    <w:rsid w:val="23A40CCF"/>
    <w:rsid w:val="23FA1D01"/>
    <w:rsid w:val="2404601A"/>
    <w:rsid w:val="24351B4F"/>
    <w:rsid w:val="243647BB"/>
    <w:rsid w:val="24501237"/>
    <w:rsid w:val="24576A62"/>
    <w:rsid w:val="245E385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56FD7"/>
    <w:rsid w:val="260C334C"/>
    <w:rsid w:val="26276BC7"/>
    <w:rsid w:val="26412189"/>
    <w:rsid w:val="26517452"/>
    <w:rsid w:val="26566E1C"/>
    <w:rsid w:val="268120E0"/>
    <w:rsid w:val="26A10A64"/>
    <w:rsid w:val="26A24282"/>
    <w:rsid w:val="26BB6790"/>
    <w:rsid w:val="26C84C3F"/>
    <w:rsid w:val="26CA39FA"/>
    <w:rsid w:val="26D85E33"/>
    <w:rsid w:val="26DB2072"/>
    <w:rsid w:val="270B4A30"/>
    <w:rsid w:val="270F1235"/>
    <w:rsid w:val="271D238B"/>
    <w:rsid w:val="273460AC"/>
    <w:rsid w:val="2737495D"/>
    <w:rsid w:val="27862FAB"/>
    <w:rsid w:val="278F67DD"/>
    <w:rsid w:val="2790746A"/>
    <w:rsid w:val="27B778B7"/>
    <w:rsid w:val="27CE4805"/>
    <w:rsid w:val="27DC01C9"/>
    <w:rsid w:val="27E53287"/>
    <w:rsid w:val="27EA6D62"/>
    <w:rsid w:val="28300784"/>
    <w:rsid w:val="283F2A39"/>
    <w:rsid w:val="28630E79"/>
    <w:rsid w:val="289E6725"/>
    <w:rsid w:val="28C0611A"/>
    <w:rsid w:val="28E2641E"/>
    <w:rsid w:val="29027AB4"/>
    <w:rsid w:val="29057EC1"/>
    <w:rsid w:val="290E28AF"/>
    <w:rsid w:val="292011C8"/>
    <w:rsid w:val="29217C5E"/>
    <w:rsid w:val="29313C99"/>
    <w:rsid w:val="293757A5"/>
    <w:rsid w:val="293D0E03"/>
    <w:rsid w:val="293F5958"/>
    <w:rsid w:val="294A094A"/>
    <w:rsid w:val="29864976"/>
    <w:rsid w:val="299E7A8C"/>
    <w:rsid w:val="29C52E87"/>
    <w:rsid w:val="29D9317B"/>
    <w:rsid w:val="29F04EAF"/>
    <w:rsid w:val="29F116D0"/>
    <w:rsid w:val="2A0241CA"/>
    <w:rsid w:val="2A0777DB"/>
    <w:rsid w:val="2A1E7E82"/>
    <w:rsid w:val="2A4E38E6"/>
    <w:rsid w:val="2A7D5C08"/>
    <w:rsid w:val="2A90033E"/>
    <w:rsid w:val="2AA47786"/>
    <w:rsid w:val="2AAA19F3"/>
    <w:rsid w:val="2AAD65EE"/>
    <w:rsid w:val="2AB23403"/>
    <w:rsid w:val="2AC77380"/>
    <w:rsid w:val="2ADD6AFD"/>
    <w:rsid w:val="2ADE6550"/>
    <w:rsid w:val="2AEA0CBC"/>
    <w:rsid w:val="2AFE0D9C"/>
    <w:rsid w:val="2B2E0309"/>
    <w:rsid w:val="2B422946"/>
    <w:rsid w:val="2B5B34DC"/>
    <w:rsid w:val="2B6D12EE"/>
    <w:rsid w:val="2B76579E"/>
    <w:rsid w:val="2B831E93"/>
    <w:rsid w:val="2B885C3B"/>
    <w:rsid w:val="2B964DED"/>
    <w:rsid w:val="2BA57D96"/>
    <w:rsid w:val="2BAE29A1"/>
    <w:rsid w:val="2BBE438D"/>
    <w:rsid w:val="2BE373EE"/>
    <w:rsid w:val="2BFC3156"/>
    <w:rsid w:val="2C295EB9"/>
    <w:rsid w:val="2C35729B"/>
    <w:rsid w:val="2C4628DA"/>
    <w:rsid w:val="2C575DDE"/>
    <w:rsid w:val="2C622710"/>
    <w:rsid w:val="2C7A1A31"/>
    <w:rsid w:val="2C7C7D79"/>
    <w:rsid w:val="2C83115A"/>
    <w:rsid w:val="2C9466E2"/>
    <w:rsid w:val="2CAF6B04"/>
    <w:rsid w:val="2CB0279E"/>
    <w:rsid w:val="2CD12AE5"/>
    <w:rsid w:val="2D310CA2"/>
    <w:rsid w:val="2D3A323B"/>
    <w:rsid w:val="2D4B55E5"/>
    <w:rsid w:val="2D4C0E6E"/>
    <w:rsid w:val="2D53589F"/>
    <w:rsid w:val="2D7646A7"/>
    <w:rsid w:val="2DB30550"/>
    <w:rsid w:val="2DDA7850"/>
    <w:rsid w:val="2DDC0104"/>
    <w:rsid w:val="2DE379BB"/>
    <w:rsid w:val="2E0177B9"/>
    <w:rsid w:val="2E034F95"/>
    <w:rsid w:val="2E090F9F"/>
    <w:rsid w:val="2E1D2BF2"/>
    <w:rsid w:val="2E2336D4"/>
    <w:rsid w:val="2E3B2A47"/>
    <w:rsid w:val="2E6003A4"/>
    <w:rsid w:val="2E69729D"/>
    <w:rsid w:val="2E6A2F38"/>
    <w:rsid w:val="2E8543E2"/>
    <w:rsid w:val="2E9B575E"/>
    <w:rsid w:val="2EB50951"/>
    <w:rsid w:val="2EB673FD"/>
    <w:rsid w:val="2EB809B1"/>
    <w:rsid w:val="2EB81831"/>
    <w:rsid w:val="2ECF7A85"/>
    <w:rsid w:val="2EE054B3"/>
    <w:rsid w:val="2EEB0155"/>
    <w:rsid w:val="2F0F048D"/>
    <w:rsid w:val="2F2B5ABF"/>
    <w:rsid w:val="2F2E604D"/>
    <w:rsid w:val="2F417886"/>
    <w:rsid w:val="2F603330"/>
    <w:rsid w:val="2F882E85"/>
    <w:rsid w:val="2F9A7F4A"/>
    <w:rsid w:val="2FC733B8"/>
    <w:rsid w:val="2FCA4F20"/>
    <w:rsid w:val="300C4C70"/>
    <w:rsid w:val="303371BB"/>
    <w:rsid w:val="3044399D"/>
    <w:rsid w:val="30487E8C"/>
    <w:rsid w:val="305868C6"/>
    <w:rsid w:val="305B1097"/>
    <w:rsid w:val="306445C1"/>
    <w:rsid w:val="306F3DBA"/>
    <w:rsid w:val="308640A9"/>
    <w:rsid w:val="30896C6B"/>
    <w:rsid w:val="30D0377D"/>
    <w:rsid w:val="30D2261F"/>
    <w:rsid w:val="30DE0226"/>
    <w:rsid w:val="30F50A2A"/>
    <w:rsid w:val="31007D5E"/>
    <w:rsid w:val="31115223"/>
    <w:rsid w:val="31263645"/>
    <w:rsid w:val="31445B9B"/>
    <w:rsid w:val="31562E88"/>
    <w:rsid w:val="316B13D5"/>
    <w:rsid w:val="31720F1D"/>
    <w:rsid w:val="31745B9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3E0092"/>
    <w:rsid w:val="33482976"/>
    <w:rsid w:val="33506C9F"/>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1D59BA"/>
    <w:rsid w:val="36247CCA"/>
    <w:rsid w:val="36280FB0"/>
    <w:rsid w:val="36400759"/>
    <w:rsid w:val="364225B8"/>
    <w:rsid w:val="364B4F18"/>
    <w:rsid w:val="36544E83"/>
    <w:rsid w:val="367B06EC"/>
    <w:rsid w:val="36AF0D32"/>
    <w:rsid w:val="36C5766F"/>
    <w:rsid w:val="36ED465C"/>
    <w:rsid w:val="36F13515"/>
    <w:rsid w:val="370058B6"/>
    <w:rsid w:val="37066B46"/>
    <w:rsid w:val="37556EFB"/>
    <w:rsid w:val="37634C0D"/>
    <w:rsid w:val="37635AA2"/>
    <w:rsid w:val="376D038A"/>
    <w:rsid w:val="378D4EC4"/>
    <w:rsid w:val="379127D4"/>
    <w:rsid w:val="37B01FC8"/>
    <w:rsid w:val="37F7211A"/>
    <w:rsid w:val="37FD2BB1"/>
    <w:rsid w:val="38115BCA"/>
    <w:rsid w:val="381D63E4"/>
    <w:rsid w:val="38454C9B"/>
    <w:rsid w:val="388116C0"/>
    <w:rsid w:val="388C714F"/>
    <w:rsid w:val="38946C1E"/>
    <w:rsid w:val="38966DB9"/>
    <w:rsid w:val="38B20894"/>
    <w:rsid w:val="38C2768F"/>
    <w:rsid w:val="38E37461"/>
    <w:rsid w:val="39105A0A"/>
    <w:rsid w:val="391B76F1"/>
    <w:rsid w:val="392245B5"/>
    <w:rsid w:val="39235BBC"/>
    <w:rsid w:val="393D721A"/>
    <w:rsid w:val="393F0F59"/>
    <w:rsid w:val="394A6B61"/>
    <w:rsid w:val="394F360B"/>
    <w:rsid w:val="395F6D78"/>
    <w:rsid w:val="39825EF1"/>
    <w:rsid w:val="399D7118"/>
    <w:rsid w:val="39BC5220"/>
    <w:rsid w:val="39D879D3"/>
    <w:rsid w:val="39E245E4"/>
    <w:rsid w:val="39FC179E"/>
    <w:rsid w:val="3A014E17"/>
    <w:rsid w:val="3A066018"/>
    <w:rsid w:val="3A27547C"/>
    <w:rsid w:val="3A3871E3"/>
    <w:rsid w:val="3A3C3C45"/>
    <w:rsid w:val="3A663EB0"/>
    <w:rsid w:val="3A684B47"/>
    <w:rsid w:val="3A87071A"/>
    <w:rsid w:val="3A9002F7"/>
    <w:rsid w:val="3A9B7C92"/>
    <w:rsid w:val="3AAC76F2"/>
    <w:rsid w:val="3AAD5CAC"/>
    <w:rsid w:val="3AAF045C"/>
    <w:rsid w:val="3AD8079E"/>
    <w:rsid w:val="3AF05E33"/>
    <w:rsid w:val="3AF1344F"/>
    <w:rsid w:val="3B1C5B19"/>
    <w:rsid w:val="3B294F65"/>
    <w:rsid w:val="3B362C4D"/>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DF3D10"/>
    <w:rsid w:val="3D277613"/>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A3700C"/>
    <w:rsid w:val="3EB02205"/>
    <w:rsid w:val="3EB47903"/>
    <w:rsid w:val="3ED7637C"/>
    <w:rsid w:val="3EDF0CF3"/>
    <w:rsid w:val="3EE8557E"/>
    <w:rsid w:val="3EED740D"/>
    <w:rsid w:val="3F286186"/>
    <w:rsid w:val="3F2C1065"/>
    <w:rsid w:val="3F2F6BD0"/>
    <w:rsid w:val="3F3330FC"/>
    <w:rsid w:val="3F397D57"/>
    <w:rsid w:val="3F4C52DF"/>
    <w:rsid w:val="3F4E48BC"/>
    <w:rsid w:val="3F4F338A"/>
    <w:rsid w:val="3F4F56AB"/>
    <w:rsid w:val="3F5C510C"/>
    <w:rsid w:val="3F652B34"/>
    <w:rsid w:val="3F9529AF"/>
    <w:rsid w:val="3F9819C8"/>
    <w:rsid w:val="3FB1447F"/>
    <w:rsid w:val="3FC35AFC"/>
    <w:rsid w:val="3FC41983"/>
    <w:rsid w:val="3FD1414D"/>
    <w:rsid w:val="3FD81218"/>
    <w:rsid w:val="3FF35E75"/>
    <w:rsid w:val="400479C3"/>
    <w:rsid w:val="40404B79"/>
    <w:rsid w:val="40797278"/>
    <w:rsid w:val="408E3720"/>
    <w:rsid w:val="40912007"/>
    <w:rsid w:val="409B357D"/>
    <w:rsid w:val="40BC2DF7"/>
    <w:rsid w:val="40CE14CF"/>
    <w:rsid w:val="40CF6877"/>
    <w:rsid w:val="40E86C9E"/>
    <w:rsid w:val="40ED7ADF"/>
    <w:rsid w:val="40F347AB"/>
    <w:rsid w:val="40F83F72"/>
    <w:rsid w:val="411713CA"/>
    <w:rsid w:val="411A6663"/>
    <w:rsid w:val="412D5086"/>
    <w:rsid w:val="416E59E3"/>
    <w:rsid w:val="417C4EC1"/>
    <w:rsid w:val="41A664B7"/>
    <w:rsid w:val="41CF3C25"/>
    <w:rsid w:val="41DF5CBF"/>
    <w:rsid w:val="41EB174A"/>
    <w:rsid w:val="42226713"/>
    <w:rsid w:val="422B2BA1"/>
    <w:rsid w:val="4231785A"/>
    <w:rsid w:val="42584818"/>
    <w:rsid w:val="427E48C1"/>
    <w:rsid w:val="42926048"/>
    <w:rsid w:val="429B6E22"/>
    <w:rsid w:val="42BF4C55"/>
    <w:rsid w:val="42C845D8"/>
    <w:rsid w:val="42F91034"/>
    <w:rsid w:val="43262E27"/>
    <w:rsid w:val="434841F7"/>
    <w:rsid w:val="434D6B99"/>
    <w:rsid w:val="437F792B"/>
    <w:rsid w:val="43BE214E"/>
    <w:rsid w:val="43ED298C"/>
    <w:rsid w:val="43EF2991"/>
    <w:rsid w:val="43F4696E"/>
    <w:rsid w:val="44597BEE"/>
    <w:rsid w:val="447A4753"/>
    <w:rsid w:val="44A70E24"/>
    <w:rsid w:val="44DD300E"/>
    <w:rsid w:val="44E2656D"/>
    <w:rsid w:val="44F11452"/>
    <w:rsid w:val="45177BA4"/>
    <w:rsid w:val="451C551F"/>
    <w:rsid w:val="451F3CCA"/>
    <w:rsid w:val="45341196"/>
    <w:rsid w:val="45493A4F"/>
    <w:rsid w:val="454E4188"/>
    <w:rsid w:val="45727755"/>
    <w:rsid w:val="45BA502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5DE"/>
    <w:rsid w:val="468F344C"/>
    <w:rsid w:val="46CE17A4"/>
    <w:rsid w:val="46D81406"/>
    <w:rsid w:val="46E72A06"/>
    <w:rsid w:val="47050296"/>
    <w:rsid w:val="470A5361"/>
    <w:rsid w:val="472022E1"/>
    <w:rsid w:val="472D3683"/>
    <w:rsid w:val="473B416A"/>
    <w:rsid w:val="473B7E9E"/>
    <w:rsid w:val="47403AF2"/>
    <w:rsid w:val="47453C8F"/>
    <w:rsid w:val="475B3378"/>
    <w:rsid w:val="4766347D"/>
    <w:rsid w:val="47715F93"/>
    <w:rsid w:val="478D4609"/>
    <w:rsid w:val="478D6A12"/>
    <w:rsid w:val="47A32AF0"/>
    <w:rsid w:val="47AF032C"/>
    <w:rsid w:val="47B179EE"/>
    <w:rsid w:val="47BA0CEF"/>
    <w:rsid w:val="47EA4D37"/>
    <w:rsid w:val="47EC146A"/>
    <w:rsid w:val="48334280"/>
    <w:rsid w:val="48386782"/>
    <w:rsid w:val="48406A1E"/>
    <w:rsid w:val="48455013"/>
    <w:rsid w:val="484B7369"/>
    <w:rsid w:val="487274B4"/>
    <w:rsid w:val="48811612"/>
    <w:rsid w:val="488818E0"/>
    <w:rsid w:val="48E06989"/>
    <w:rsid w:val="48E92C88"/>
    <w:rsid w:val="48EB1D85"/>
    <w:rsid w:val="494C141C"/>
    <w:rsid w:val="4954359E"/>
    <w:rsid w:val="49821D8D"/>
    <w:rsid w:val="4987544D"/>
    <w:rsid w:val="49AE3D92"/>
    <w:rsid w:val="49BF2772"/>
    <w:rsid w:val="49C47EBE"/>
    <w:rsid w:val="49C55CAD"/>
    <w:rsid w:val="49CA225D"/>
    <w:rsid w:val="4A1203E3"/>
    <w:rsid w:val="4A3C31F7"/>
    <w:rsid w:val="4A863FBD"/>
    <w:rsid w:val="4AA927DF"/>
    <w:rsid w:val="4AB450E7"/>
    <w:rsid w:val="4ABD2CBE"/>
    <w:rsid w:val="4ACA49FA"/>
    <w:rsid w:val="4ACC15C6"/>
    <w:rsid w:val="4ACC17F6"/>
    <w:rsid w:val="4AE8469B"/>
    <w:rsid w:val="4AED30D2"/>
    <w:rsid w:val="4AF05435"/>
    <w:rsid w:val="4AFE1C1B"/>
    <w:rsid w:val="4B503DE9"/>
    <w:rsid w:val="4B592E57"/>
    <w:rsid w:val="4B731311"/>
    <w:rsid w:val="4B8548B8"/>
    <w:rsid w:val="4B9A2375"/>
    <w:rsid w:val="4BAD17E4"/>
    <w:rsid w:val="4C0D0455"/>
    <w:rsid w:val="4C1F7A5B"/>
    <w:rsid w:val="4C9A5F96"/>
    <w:rsid w:val="4C9B7DE3"/>
    <w:rsid w:val="4CA178A3"/>
    <w:rsid w:val="4CA9023C"/>
    <w:rsid w:val="4CB3138C"/>
    <w:rsid w:val="4CBE1543"/>
    <w:rsid w:val="4CBE4760"/>
    <w:rsid w:val="4CCC2062"/>
    <w:rsid w:val="4CF86DA4"/>
    <w:rsid w:val="4D020DA5"/>
    <w:rsid w:val="4D0D52CB"/>
    <w:rsid w:val="4D566C49"/>
    <w:rsid w:val="4D6037A5"/>
    <w:rsid w:val="4D743AA4"/>
    <w:rsid w:val="4D834946"/>
    <w:rsid w:val="4D993267"/>
    <w:rsid w:val="4DA1355F"/>
    <w:rsid w:val="4DA537BB"/>
    <w:rsid w:val="4DBB336E"/>
    <w:rsid w:val="4DBE6815"/>
    <w:rsid w:val="4DF67531"/>
    <w:rsid w:val="4DF9062B"/>
    <w:rsid w:val="4E014EF8"/>
    <w:rsid w:val="4E066E93"/>
    <w:rsid w:val="4E075658"/>
    <w:rsid w:val="4E1D7E77"/>
    <w:rsid w:val="4E236A05"/>
    <w:rsid w:val="4E51451A"/>
    <w:rsid w:val="4EDE397C"/>
    <w:rsid w:val="4EF614BA"/>
    <w:rsid w:val="4EF62402"/>
    <w:rsid w:val="4EFC3992"/>
    <w:rsid w:val="4F087D26"/>
    <w:rsid w:val="4F35630A"/>
    <w:rsid w:val="4F362E18"/>
    <w:rsid w:val="4F540B41"/>
    <w:rsid w:val="4F547EAA"/>
    <w:rsid w:val="4F832885"/>
    <w:rsid w:val="4F9039FE"/>
    <w:rsid w:val="4FE02223"/>
    <w:rsid w:val="50437224"/>
    <w:rsid w:val="50490678"/>
    <w:rsid w:val="505A512C"/>
    <w:rsid w:val="50895295"/>
    <w:rsid w:val="5098572F"/>
    <w:rsid w:val="50B906DF"/>
    <w:rsid w:val="50F018D3"/>
    <w:rsid w:val="50F47A17"/>
    <w:rsid w:val="51336612"/>
    <w:rsid w:val="513D38A6"/>
    <w:rsid w:val="51456AF4"/>
    <w:rsid w:val="515C1DCC"/>
    <w:rsid w:val="51657C34"/>
    <w:rsid w:val="51790E28"/>
    <w:rsid w:val="518C7600"/>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703FE"/>
    <w:rsid w:val="543D68D9"/>
    <w:rsid w:val="54871B54"/>
    <w:rsid w:val="549F3EDE"/>
    <w:rsid w:val="54AA3CD9"/>
    <w:rsid w:val="54B76615"/>
    <w:rsid w:val="54EA3219"/>
    <w:rsid w:val="550118A5"/>
    <w:rsid w:val="55582F0D"/>
    <w:rsid w:val="557A16A0"/>
    <w:rsid w:val="559A22C4"/>
    <w:rsid w:val="559C2F3F"/>
    <w:rsid w:val="559F228F"/>
    <w:rsid w:val="55B54251"/>
    <w:rsid w:val="55D00DC0"/>
    <w:rsid w:val="55E8090D"/>
    <w:rsid w:val="562A1609"/>
    <w:rsid w:val="563F74A4"/>
    <w:rsid w:val="566B53D2"/>
    <w:rsid w:val="56715C12"/>
    <w:rsid w:val="567B1141"/>
    <w:rsid w:val="5681373E"/>
    <w:rsid w:val="569A3398"/>
    <w:rsid w:val="56AD7471"/>
    <w:rsid w:val="56EB3361"/>
    <w:rsid w:val="56F40954"/>
    <w:rsid w:val="56F72F30"/>
    <w:rsid w:val="570D256E"/>
    <w:rsid w:val="57301450"/>
    <w:rsid w:val="574D339C"/>
    <w:rsid w:val="5753468B"/>
    <w:rsid w:val="575B3101"/>
    <w:rsid w:val="5760479D"/>
    <w:rsid w:val="576D43D6"/>
    <w:rsid w:val="5779650A"/>
    <w:rsid w:val="57BA33E6"/>
    <w:rsid w:val="57F25C54"/>
    <w:rsid w:val="58037259"/>
    <w:rsid w:val="580B1E0B"/>
    <w:rsid w:val="58164A86"/>
    <w:rsid w:val="585712B7"/>
    <w:rsid w:val="58603614"/>
    <w:rsid w:val="58615E6E"/>
    <w:rsid w:val="58635793"/>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CA0DF6"/>
    <w:rsid w:val="59CD2536"/>
    <w:rsid w:val="59D05539"/>
    <w:rsid w:val="59E12D2E"/>
    <w:rsid w:val="59E56E97"/>
    <w:rsid w:val="59EE0B0E"/>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734F1"/>
    <w:rsid w:val="5D3A42DC"/>
    <w:rsid w:val="5D423265"/>
    <w:rsid w:val="5DCE771F"/>
    <w:rsid w:val="5DD3556C"/>
    <w:rsid w:val="5DD81E67"/>
    <w:rsid w:val="5DE6704B"/>
    <w:rsid w:val="5DEC3B70"/>
    <w:rsid w:val="5DF84369"/>
    <w:rsid w:val="5DF92DCB"/>
    <w:rsid w:val="5E091FB5"/>
    <w:rsid w:val="5E277D80"/>
    <w:rsid w:val="5E280CB5"/>
    <w:rsid w:val="5E4130FC"/>
    <w:rsid w:val="5E447267"/>
    <w:rsid w:val="5E4A572D"/>
    <w:rsid w:val="5E5667A6"/>
    <w:rsid w:val="5E676802"/>
    <w:rsid w:val="5E6C7C78"/>
    <w:rsid w:val="5E72699B"/>
    <w:rsid w:val="5E815CED"/>
    <w:rsid w:val="5E887A26"/>
    <w:rsid w:val="5EA35CFD"/>
    <w:rsid w:val="5EB75E1B"/>
    <w:rsid w:val="5EC56393"/>
    <w:rsid w:val="5EF078DD"/>
    <w:rsid w:val="5EFB0071"/>
    <w:rsid w:val="5EFE34A1"/>
    <w:rsid w:val="5F173FD8"/>
    <w:rsid w:val="5F3262F4"/>
    <w:rsid w:val="5F5C27E5"/>
    <w:rsid w:val="5F6E2815"/>
    <w:rsid w:val="5F7C06D8"/>
    <w:rsid w:val="5FA1081C"/>
    <w:rsid w:val="5FD9462B"/>
    <w:rsid w:val="5FE061B9"/>
    <w:rsid w:val="5FEB5761"/>
    <w:rsid w:val="5FFB6305"/>
    <w:rsid w:val="60011320"/>
    <w:rsid w:val="60375EAF"/>
    <w:rsid w:val="604100BA"/>
    <w:rsid w:val="6057025C"/>
    <w:rsid w:val="606F133D"/>
    <w:rsid w:val="60916901"/>
    <w:rsid w:val="60993336"/>
    <w:rsid w:val="609949E1"/>
    <w:rsid w:val="60A27DAC"/>
    <w:rsid w:val="60B91733"/>
    <w:rsid w:val="60E34759"/>
    <w:rsid w:val="610B115D"/>
    <w:rsid w:val="61120121"/>
    <w:rsid w:val="612650A2"/>
    <w:rsid w:val="61275225"/>
    <w:rsid w:val="614041D7"/>
    <w:rsid w:val="616C655B"/>
    <w:rsid w:val="616E381D"/>
    <w:rsid w:val="61A21ED5"/>
    <w:rsid w:val="61BA5EFD"/>
    <w:rsid w:val="61C7660C"/>
    <w:rsid w:val="61CC72FE"/>
    <w:rsid w:val="61D81BE2"/>
    <w:rsid w:val="61E93AD6"/>
    <w:rsid w:val="620100B1"/>
    <w:rsid w:val="62190F45"/>
    <w:rsid w:val="62193B80"/>
    <w:rsid w:val="621B4181"/>
    <w:rsid w:val="62216BE1"/>
    <w:rsid w:val="62353B47"/>
    <w:rsid w:val="624076D6"/>
    <w:rsid w:val="628C53F9"/>
    <w:rsid w:val="62937829"/>
    <w:rsid w:val="62A20B07"/>
    <w:rsid w:val="62A414E0"/>
    <w:rsid w:val="62BA5904"/>
    <w:rsid w:val="62CC77CB"/>
    <w:rsid w:val="62F3784F"/>
    <w:rsid w:val="62FF3FB5"/>
    <w:rsid w:val="63021DE2"/>
    <w:rsid w:val="63112339"/>
    <w:rsid w:val="632C21E9"/>
    <w:rsid w:val="632C2662"/>
    <w:rsid w:val="633A0F04"/>
    <w:rsid w:val="63654FE0"/>
    <w:rsid w:val="63AA5332"/>
    <w:rsid w:val="63C61233"/>
    <w:rsid w:val="63FF6AFB"/>
    <w:rsid w:val="64142736"/>
    <w:rsid w:val="642A2A58"/>
    <w:rsid w:val="64391A57"/>
    <w:rsid w:val="64585109"/>
    <w:rsid w:val="645F7031"/>
    <w:rsid w:val="64881679"/>
    <w:rsid w:val="649F7EFD"/>
    <w:rsid w:val="64B55A95"/>
    <w:rsid w:val="64B64B66"/>
    <w:rsid w:val="64B86E2A"/>
    <w:rsid w:val="64C12A40"/>
    <w:rsid w:val="64C15487"/>
    <w:rsid w:val="64C51685"/>
    <w:rsid w:val="65021AA2"/>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D04B5E"/>
    <w:rsid w:val="66D60DB1"/>
    <w:rsid w:val="66E561D8"/>
    <w:rsid w:val="66F00AF0"/>
    <w:rsid w:val="6700750E"/>
    <w:rsid w:val="67580868"/>
    <w:rsid w:val="67610EFA"/>
    <w:rsid w:val="678D5B85"/>
    <w:rsid w:val="67904419"/>
    <w:rsid w:val="67995A29"/>
    <w:rsid w:val="67A00193"/>
    <w:rsid w:val="67B563BE"/>
    <w:rsid w:val="67DC482A"/>
    <w:rsid w:val="67E55620"/>
    <w:rsid w:val="67EA5494"/>
    <w:rsid w:val="67EB5FE1"/>
    <w:rsid w:val="67ED1ADF"/>
    <w:rsid w:val="68091997"/>
    <w:rsid w:val="680D19BB"/>
    <w:rsid w:val="6815717B"/>
    <w:rsid w:val="681B7F08"/>
    <w:rsid w:val="68221A8C"/>
    <w:rsid w:val="68347A35"/>
    <w:rsid w:val="684D6D87"/>
    <w:rsid w:val="684F6446"/>
    <w:rsid w:val="685036D0"/>
    <w:rsid w:val="68525B9B"/>
    <w:rsid w:val="688432AD"/>
    <w:rsid w:val="6886482A"/>
    <w:rsid w:val="688E57BC"/>
    <w:rsid w:val="68904BFB"/>
    <w:rsid w:val="68951A44"/>
    <w:rsid w:val="68A0499E"/>
    <w:rsid w:val="68AE3670"/>
    <w:rsid w:val="68C332BA"/>
    <w:rsid w:val="68C708F2"/>
    <w:rsid w:val="68D56251"/>
    <w:rsid w:val="68EF5946"/>
    <w:rsid w:val="68FF6567"/>
    <w:rsid w:val="693118AD"/>
    <w:rsid w:val="69603C4B"/>
    <w:rsid w:val="69614422"/>
    <w:rsid w:val="69683F1C"/>
    <w:rsid w:val="69930E11"/>
    <w:rsid w:val="699C0EF8"/>
    <w:rsid w:val="69A23095"/>
    <w:rsid w:val="69AB5DBB"/>
    <w:rsid w:val="69B840F1"/>
    <w:rsid w:val="69C91948"/>
    <w:rsid w:val="69F22996"/>
    <w:rsid w:val="69FD45AC"/>
    <w:rsid w:val="6A0C6539"/>
    <w:rsid w:val="6A2826A1"/>
    <w:rsid w:val="6A551347"/>
    <w:rsid w:val="6A5660EE"/>
    <w:rsid w:val="6A5D1911"/>
    <w:rsid w:val="6A9F3407"/>
    <w:rsid w:val="6AA45AEE"/>
    <w:rsid w:val="6AAA05A9"/>
    <w:rsid w:val="6AE60B4C"/>
    <w:rsid w:val="6B0E0011"/>
    <w:rsid w:val="6B113D9E"/>
    <w:rsid w:val="6B3529D0"/>
    <w:rsid w:val="6B3C6A10"/>
    <w:rsid w:val="6B3D3D48"/>
    <w:rsid w:val="6B503996"/>
    <w:rsid w:val="6B5B3158"/>
    <w:rsid w:val="6B726A7C"/>
    <w:rsid w:val="6B8833D8"/>
    <w:rsid w:val="6B8902B7"/>
    <w:rsid w:val="6BA832B8"/>
    <w:rsid w:val="6BBA5C26"/>
    <w:rsid w:val="6BC644EC"/>
    <w:rsid w:val="6BE963BE"/>
    <w:rsid w:val="6C0F365E"/>
    <w:rsid w:val="6C130D58"/>
    <w:rsid w:val="6C2E2CA9"/>
    <w:rsid w:val="6C33536D"/>
    <w:rsid w:val="6C3E3641"/>
    <w:rsid w:val="6C517C19"/>
    <w:rsid w:val="6C547454"/>
    <w:rsid w:val="6C5648D5"/>
    <w:rsid w:val="6C740601"/>
    <w:rsid w:val="6C842DAB"/>
    <w:rsid w:val="6C8A5474"/>
    <w:rsid w:val="6CD85C69"/>
    <w:rsid w:val="6D464DCC"/>
    <w:rsid w:val="6D616216"/>
    <w:rsid w:val="6D932C97"/>
    <w:rsid w:val="6DA225C5"/>
    <w:rsid w:val="6DB630F7"/>
    <w:rsid w:val="6E04099A"/>
    <w:rsid w:val="6E0E61FC"/>
    <w:rsid w:val="6E3101C1"/>
    <w:rsid w:val="6E351784"/>
    <w:rsid w:val="6E451A64"/>
    <w:rsid w:val="6E67698D"/>
    <w:rsid w:val="6E6839F7"/>
    <w:rsid w:val="6E733F82"/>
    <w:rsid w:val="6E874489"/>
    <w:rsid w:val="6E960A52"/>
    <w:rsid w:val="6EA0744D"/>
    <w:rsid w:val="6EA3291D"/>
    <w:rsid w:val="6EA67504"/>
    <w:rsid w:val="6EDD75A0"/>
    <w:rsid w:val="6EE73EE7"/>
    <w:rsid w:val="6EFD2F4D"/>
    <w:rsid w:val="6F0D2298"/>
    <w:rsid w:val="6F145E1F"/>
    <w:rsid w:val="6F207A77"/>
    <w:rsid w:val="6F37324B"/>
    <w:rsid w:val="6F4B77AB"/>
    <w:rsid w:val="6F59783E"/>
    <w:rsid w:val="6F5A407F"/>
    <w:rsid w:val="6F9045BD"/>
    <w:rsid w:val="6F991282"/>
    <w:rsid w:val="6FAD4095"/>
    <w:rsid w:val="6FB963FA"/>
    <w:rsid w:val="6FD071A2"/>
    <w:rsid w:val="6FD57D31"/>
    <w:rsid w:val="6FD969D9"/>
    <w:rsid w:val="6FDF42CC"/>
    <w:rsid w:val="700A32D4"/>
    <w:rsid w:val="70512274"/>
    <w:rsid w:val="7071512F"/>
    <w:rsid w:val="70836044"/>
    <w:rsid w:val="70963635"/>
    <w:rsid w:val="709E757C"/>
    <w:rsid w:val="70AB6982"/>
    <w:rsid w:val="70B960E4"/>
    <w:rsid w:val="70BD0161"/>
    <w:rsid w:val="70CE2945"/>
    <w:rsid w:val="70E03E42"/>
    <w:rsid w:val="710003A8"/>
    <w:rsid w:val="710376A0"/>
    <w:rsid w:val="710F0BB8"/>
    <w:rsid w:val="71194261"/>
    <w:rsid w:val="711C5BB5"/>
    <w:rsid w:val="7144689C"/>
    <w:rsid w:val="714872A8"/>
    <w:rsid w:val="717E5F2F"/>
    <w:rsid w:val="71885178"/>
    <w:rsid w:val="718B15C7"/>
    <w:rsid w:val="71B2274D"/>
    <w:rsid w:val="71BF4E45"/>
    <w:rsid w:val="71C20258"/>
    <w:rsid w:val="71CC7EBE"/>
    <w:rsid w:val="71D20555"/>
    <w:rsid w:val="71DA77B8"/>
    <w:rsid w:val="71EA67D9"/>
    <w:rsid w:val="722766A6"/>
    <w:rsid w:val="72312C6E"/>
    <w:rsid w:val="72355C90"/>
    <w:rsid w:val="72370EF3"/>
    <w:rsid w:val="723E1C2C"/>
    <w:rsid w:val="724A0B59"/>
    <w:rsid w:val="724B3C7A"/>
    <w:rsid w:val="72522107"/>
    <w:rsid w:val="7258227F"/>
    <w:rsid w:val="726542C5"/>
    <w:rsid w:val="72713F85"/>
    <w:rsid w:val="72725AF0"/>
    <w:rsid w:val="727E25B6"/>
    <w:rsid w:val="72931EAF"/>
    <w:rsid w:val="729B43C7"/>
    <w:rsid w:val="729B556A"/>
    <w:rsid w:val="72A264DB"/>
    <w:rsid w:val="72BD48D1"/>
    <w:rsid w:val="72C65D78"/>
    <w:rsid w:val="72D7336E"/>
    <w:rsid w:val="72FD0906"/>
    <w:rsid w:val="7313580C"/>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653ACC"/>
    <w:rsid w:val="77A82770"/>
    <w:rsid w:val="77BD7E72"/>
    <w:rsid w:val="77ED0386"/>
    <w:rsid w:val="77F72469"/>
    <w:rsid w:val="77F854D4"/>
    <w:rsid w:val="78065036"/>
    <w:rsid w:val="78366B8C"/>
    <w:rsid w:val="783B287A"/>
    <w:rsid w:val="78482C69"/>
    <w:rsid w:val="785E7689"/>
    <w:rsid w:val="78B2035E"/>
    <w:rsid w:val="78B43B82"/>
    <w:rsid w:val="78B57D9C"/>
    <w:rsid w:val="78BB76EA"/>
    <w:rsid w:val="78F65C61"/>
    <w:rsid w:val="78FB1BD1"/>
    <w:rsid w:val="79213328"/>
    <w:rsid w:val="7964511F"/>
    <w:rsid w:val="7970035E"/>
    <w:rsid w:val="79824E81"/>
    <w:rsid w:val="79956A1C"/>
    <w:rsid w:val="799E7491"/>
    <w:rsid w:val="799F3F47"/>
    <w:rsid w:val="79A72484"/>
    <w:rsid w:val="79BA471D"/>
    <w:rsid w:val="79DF005F"/>
    <w:rsid w:val="79E028EC"/>
    <w:rsid w:val="7A114E8A"/>
    <w:rsid w:val="7A1C5B1C"/>
    <w:rsid w:val="7A2D6C9D"/>
    <w:rsid w:val="7A4653BA"/>
    <w:rsid w:val="7A765EEC"/>
    <w:rsid w:val="7A790CA9"/>
    <w:rsid w:val="7AB83F1D"/>
    <w:rsid w:val="7AD234FC"/>
    <w:rsid w:val="7ADD6AF4"/>
    <w:rsid w:val="7AE2061C"/>
    <w:rsid w:val="7AF937F5"/>
    <w:rsid w:val="7B002131"/>
    <w:rsid w:val="7B0864F6"/>
    <w:rsid w:val="7B1B16D3"/>
    <w:rsid w:val="7B2E6780"/>
    <w:rsid w:val="7B5D217A"/>
    <w:rsid w:val="7B614801"/>
    <w:rsid w:val="7B684A54"/>
    <w:rsid w:val="7B913B86"/>
    <w:rsid w:val="7B97422A"/>
    <w:rsid w:val="7B9E0B7F"/>
    <w:rsid w:val="7BA969F0"/>
    <w:rsid w:val="7BB31B68"/>
    <w:rsid w:val="7C071C5F"/>
    <w:rsid w:val="7C194469"/>
    <w:rsid w:val="7C1A6CD5"/>
    <w:rsid w:val="7C2630F4"/>
    <w:rsid w:val="7C45471C"/>
    <w:rsid w:val="7C7E27D3"/>
    <w:rsid w:val="7C7F3629"/>
    <w:rsid w:val="7C8B7A6D"/>
    <w:rsid w:val="7C90110D"/>
    <w:rsid w:val="7C9B6AF6"/>
    <w:rsid w:val="7CA34622"/>
    <w:rsid w:val="7CB443FA"/>
    <w:rsid w:val="7CF71AE4"/>
    <w:rsid w:val="7D2F6FF7"/>
    <w:rsid w:val="7D303FCF"/>
    <w:rsid w:val="7D332F6D"/>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B11AA"/>
    <w:rsid w:val="7EA32AD0"/>
    <w:rsid w:val="7ED55007"/>
    <w:rsid w:val="7ED953E3"/>
    <w:rsid w:val="7EF765D0"/>
    <w:rsid w:val="7EF87C96"/>
    <w:rsid w:val="7F215D8A"/>
    <w:rsid w:val="7F301B1E"/>
    <w:rsid w:val="7F375D0A"/>
    <w:rsid w:val="7F500CBA"/>
    <w:rsid w:val="7F587DE1"/>
    <w:rsid w:val="7F61016D"/>
    <w:rsid w:val="7F6D28E2"/>
    <w:rsid w:val="7F820D78"/>
    <w:rsid w:val="7F935AA2"/>
    <w:rsid w:val="7FA51E6D"/>
    <w:rsid w:val="7FC76DE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D1559B-FD42-4577-9C68-B348725BB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pPr>
      <w:spacing w:after="160" w:line="259" w:lineRule="auto"/>
    </w:pPr>
    <w:rPr>
      <w:sz w:val="22"/>
      <w:szCs w:val="22"/>
    </w:rPr>
  </w:style>
  <w:style w:type="paragraph" w:customStyle="1" w:styleId="RAN1bullet2">
    <w:name w:val="RAN1 bullet2"/>
    <w:basedOn w:val="a"/>
    <w:link w:val="RAN1bullet2Char"/>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8">
    <w:name w:val="List Paragraph"/>
    <w:basedOn w:val="a"/>
    <w:uiPriority w:val="34"/>
    <w:qFormat/>
    <w:pPr>
      <w:ind w:firstLineChars="200" w:firstLine="420"/>
    </w:pPr>
  </w:style>
  <w:style w:type="paragraph" w:customStyle="1" w:styleId="17">
    <w:name w:val="普通(网站)1"/>
    <w:basedOn w:val="a"/>
    <w:semiHidden/>
    <w:qFormat/>
    <w:pPr>
      <w:spacing w:before="100" w:beforeAutospacing="1" w:after="100" w:afterAutospacing="1" w:line="240" w:lineRule="auto"/>
    </w:pPr>
    <w:rPr>
      <w:rFonts w:eastAsia="Calibri"/>
      <w:sz w:val="24"/>
      <w:szCs w:val="24"/>
    </w:rPr>
  </w:style>
  <w:style w:type="table" w:customStyle="1" w:styleId="18">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character" w:customStyle="1" w:styleId="150">
    <w:name w:val="15"/>
    <w:basedOn w:val="a0"/>
    <w:qFormat/>
    <w:rPr>
      <w:rFonts w:ascii="Times New Roman" w:hAnsi="Times New Roman" w:cs="Times New Roman" w:hint="default"/>
      <w:color w:val="0000FF"/>
      <w:u w:val="single"/>
    </w:rPr>
  </w:style>
  <w:style w:type="character" w:customStyle="1" w:styleId="RAN1bullet2Char">
    <w:name w:val="RAN1 bullet2 Char"/>
    <w:link w:val="RAN1bullet2"/>
    <w:qFormat/>
    <w:rPr>
      <w:rFonts w:eastAsia="t"/>
    </w:rPr>
  </w:style>
  <w:style w:type="character" w:customStyle="1" w:styleId="160">
    <w:name w:val="16"/>
    <w:basedOn w:val="a0"/>
    <w:qFormat/>
    <w:rPr>
      <w:rFonts w:ascii="Times New Roman" w:hAnsi="Times New Roman" w:cs="Times New Roman" w:hint="default"/>
      <w:b/>
      <w:bCs/>
    </w:rPr>
  </w:style>
  <w:style w:type="character" w:customStyle="1" w:styleId="170">
    <w:name w:val="17"/>
    <w:basedOn w:val="a0"/>
    <w:qFormat/>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2EBF41-4C31-4979-B3D3-3C2F58472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1123</Words>
  <Characters>6407</Characters>
  <Application>Microsoft Office Word</Application>
  <DocSecurity>0</DocSecurity>
  <Lines>53</Lines>
  <Paragraphs>15</Paragraphs>
  <ScaleCrop>false</ScaleCrop>
  <Company>www.zte.com.cn</Company>
  <LinksUpToDate>false</LinksUpToDate>
  <CharactersWithSpaces>7515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ZTE-Chuangxin</cp:lastModifiedBy>
  <cp:revision>320</cp:revision>
  <dcterms:created xsi:type="dcterms:W3CDTF">2021-01-18T09:29:00Z</dcterms:created>
  <dcterms:modified xsi:type="dcterms:W3CDTF">2021-11-04T03:45:00Z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